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ECA51" w14:textId="128F2656" w:rsidR="00DA663C" w:rsidRDefault="00F8269D" w:rsidP="00FF4F3A">
      <w:pPr>
        <w:spacing w:line="240" w:lineRule="auto"/>
      </w:pPr>
      <w:r w:rsidRPr="00F8269D">
        <w:rPr>
          <w:noProof/>
        </w:rPr>
        <w:drawing>
          <wp:anchor distT="0" distB="0" distL="114300" distR="114300" simplePos="0" relativeHeight="251660288" behindDoc="0" locked="0" layoutInCell="1" allowOverlap="1" wp14:anchorId="4E9D1E1D" wp14:editId="18BE76EE">
            <wp:simplePos x="0" y="0"/>
            <wp:positionH relativeFrom="margin">
              <wp:posOffset>4275455</wp:posOffset>
            </wp:positionH>
            <wp:positionV relativeFrom="margin">
              <wp:posOffset>342900</wp:posOffset>
            </wp:positionV>
            <wp:extent cx="1545590" cy="638175"/>
            <wp:effectExtent l="0" t="0" r="0" b="9525"/>
            <wp:wrapSquare wrapText="bothSides"/>
            <wp:docPr id="52710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5590" cy="638175"/>
                    </a:xfrm>
                    <a:prstGeom prst="rect">
                      <a:avLst/>
                    </a:prstGeom>
                    <a:noFill/>
                    <a:ln>
                      <a:noFill/>
                    </a:ln>
                  </pic:spPr>
                </pic:pic>
              </a:graphicData>
            </a:graphic>
          </wp:anchor>
        </w:drawing>
      </w:r>
      <w:r w:rsidR="003B3C21">
        <w:rPr>
          <w:noProof/>
        </w:rPr>
        <mc:AlternateContent>
          <mc:Choice Requires="wps">
            <w:drawing>
              <wp:anchor distT="0" distB="0" distL="114300" distR="114300" simplePos="0" relativeHeight="251659264" behindDoc="0" locked="0" layoutInCell="1" allowOverlap="1" wp14:anchorId="7C491762" wp14:editId="1379F68D">
                <wp:simplePos x="0" y="0"/>
                <wp:positionH relativeFrom="column">
                  <wp:posOffset>0</wp:posOffset>
                </wp:positionH>
                <wp:positionV relativeFrom="paragraph">
                  <wp:posOffset>0</wp:posOffset>
                </wp:positionV>
                <wp:extent cx="5957570" cy="1475105"/>
                <wp:effectExtent l="0" t="0" r="5080" b="0"/>
                <wp:wrapThrough wrapText="bothSides">
                  <wp:wrapPolygon edited="0">
                    <wp:start x="0" y="0"/>
                    <wp:lineTo x="0" y="21200"/>
                    <wp:lineTo x="21549" y="21200"/>
                    <wp:lineTo x="21549" y="0"/>
                    <wp:lineTo x="0" y="0"/>
                  </wp:wrapPolygon>
                </wp:wrapThrough>
                <wp:docPr id="1984087750" name="Rectangle 1"/>
                <wp:cNvGraphicFramePr/>
                <a:graphic xmlns:a="http://schemas.openxmlformats.org/drawingml/2006/main">
                  <a:graphicData uri="http://schemas.microsoft.com/office/word/2010/wordprocessingShape">
                    <wps:wsp>
                      <wps:cNvSpPr/>
                      <wps:spPr>
                        <a:xfrm>
                          <a:off x="0" y="0"/>
                          <a:ext cx="5957570" cy="147510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D4ED34" w14:textId="551AC7E7" w:rsidR="003B3C21" w:rsidRPr="00C715CB" w:rsidRDefault="007D388C" w:rsidP="003B3C21">
                            <w:pPr>
                              <w:rPr>
                                <w:b/>
                                <w:bCs/>
                                <w:color w:val="000000" w:themeColor="text1"/>
                              </w:rPr>
                            </w:pPr>
                            <w:r>
                              <w:rPr>
                                <w:b/>
                                <w:bCs/>
                                <w:color w:val="000000" w:themeColor="text1"/>
                              </w:rPr>
                              <w:t>Global Perspective in Food Science and Innovation</w:t>
                            </w:r>
                            <w:r w:rsidR="003B3C21" w:rsidRPr="00C715CB">
                              <w:rPr>
                                <w:b/>
                                <w:bCs/>
                                <w:color w:val="000000" w:themeColor="text1"/>
                              </w:rPr>
                              <w:br/>
                              <w:t xml:space="preserve">ISSN </w:t>
                            </w:r>
                            <w:r w:rsidR="00FF4F3A">
                              <w:rPr>
                                <w:b/>
                                <w:bCs/>
                                <w:color w:val="000000" w:themeColor="text1"/>
                              </w:rPr>
                              <w:t>Pending</w:t>
                            </w:r>
                            <w:r w:rsidR="003B3C21" w:rsidRPr="00C715CB">
                              <w:rPr>
                                <w:b/>
                                <w:bCs/>
                                <w:color w:val="000000" w:themeColor="text1"/>
                              </w:rPr>
                              <w:br/>
                              <w:t>DAC Insight Publishers</w:t>
                            </w:r>
                            <w:r w:rsidR="003B3C21" w:rsidRPr="00C715CB">
                              <w:rPr>
                                <w:b/>
                                <w:bCs/>
                                <w:color w:val="000000" w:themeColor="text1"/>
                              </w:rPr>
                              <w:br/>
                            </w:r>
                            <w:hyperlink r:id="rId8" w:history="1">
                              <w:r w:rsidRPr="00624EF5">
                                <w:rPr>
                                  <w:rStyle w:val="Hyperlink"/>
                                  <w:b/>
                                  <w:bCs/>
                                </w:rPr>
                                <w:t>https://journals.dacinsightpublishers.com/GPFSA</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C491762" id="Rectangle 1" o:spid="_x0000_s1026" style="position:absolute;margin-left:0;margin-top:0;width:469.1pt;height:11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" fillcolor="#f2f2f2 [3052]" stroked="f" strokeweight="1pt">
                <v:textbox>
                  <w:txbxContent>
                    <w:p w14:paraId="69D4ED34" w14:textId="551AC7E7" w:rsidR="003B3C21" w:rsidRPr="00C715CB" w:rsidRDefault="007D388C" w:rsidP="003B3C21">
                      <w:pPr>
                        <w:rPr>
                          <w:b/>
                          <w:bCs/>
                          <w:color w:val="000000" w:themeColor="text1"/>
                        </w:rPr>
                      </w:pPr>
                      <w:r>
                        <w:rPr>
                          <w:b/>
                          <w:bCs/>
                          <w:color w:val="000000" w:themeColor="text1"/>
                        </w:rPr>
                        <w:t>Global Perspective in Food Science and Innovation</w:t>
                      </w:r>
                      <w:r w:rsidR="003B3C21" w:rsidRPr="00C715CB">
                        <w:rPr>
                          <w:b/>
                          <w:bCs/>
                          <w:color w:val="000000" w:themeColor="text1"/>
                        </w:rPr>
                        <w:br/>
                        <w:t xml:space="preserve">ISSN </w:t>
                      </w:r>
                      <w:r w:rsidR="00FF4F3A">
                        <w:rPr>
                          <w:b/>
                          <w:bCs/>
                          <w:color w:val="000000" w:themeColor="text1"/>
                        </w:rPr>
                        <w:t>Pending</w:t>
                      </w:r>
                      <w:r w:rsidR="003B3C21" w:rsidRPr="00C715CB">
                        <w:rPr>
                          <w:b/>
                          <w:bCs/>
                          <w:color w:val="000000" w:themeColor="text1"/>
                        </w:rPr>
                        <w:br/>
                        <w:t>DAC Insight Publishers</w:t>
                      </w:r>
                      <w:r w:rsidR="003B3C21" w:rsidRPr="00C715CB">
                        <w:rPr>
                          <w:b/>
                          <w:bCs/>
                          <w:color w:val="000000" w:themeColor="text1"/>
                        </w:rPr>
                        <w:br/>
                      </w:r>
                      <w:hyperlink r:id="rId9" w:history="1">
                        <w:r w:rsidRPr="00624EF5">
                          <w:rPr>
                            <w:rStyle w:val="Hyperlink"/>
                            <w:b/>
                            <w:bCs/>
                          </w:rPr>
                          <w:t>https://journals.dacinsightpublishers.com/GPFSA</w:t>
                        </w:r>
                      </w:hyperlink>
                    </w:p>
                  </w:txbxContent>
                </v:textbox>
                <w10:wrap type="through"/>
              </v:rect>
            </w:pict>
          </mc:Fallback>
        </mc:AlternateContent>
      </w:r>
    </w:p>
    <w:p w14:paraId="517C8F13" w14:textId="5DFFF911" w:rsidR="00FF4F3A" w:rsidRPr="00FF4F3A" w:rsidRDefault="00FF4F3A" w:rsidP="00FF4F3A">
      <w:pPr>
        <w:spacing w:line="240" w:lineRule="auto"/>
        <w:jc w:val="center"/>
        <w:rPr>
          <w:rFonts w:ascii="Times New Roman" w:eastAsia="Aptos" w:hAnsi="Times New Roman" w:cs="Times New Roman"/>
          <w:b/>
          <w:bCs/>
          <w:sz w:val="28"/>
          <w:szCs w:val="28"/>
        </w:rPr>
      </w:pPr>
      <w:r w:rsidRPr="00FF4F3A">
        <w:rPr>
          <w:rFonts w:ascii="Times New Roman" w:eastAsia="Aptos" w:hAnsi="Times New Roman" w:cs="Times New Roman"/>
          <w:b/>
          <w:bCs/>
          <w:sz w:val="28"/>
          <w:szCs w:val="28"/>
        </w:rPr>
        <w:t>MECHANISTIC NUTRITION AND FOOD FORMULATION STRATEGIES FOR GLP-1 USERS: A FRAMEWORK FOR WEIGHT MAINTENANCE AND APPETITE STABILIZATION</w:t>
      </w:r>
    </w:p>
    <w:p w14:paraId="65719E27" w14:textId="77777777" w:rsidR="00FF4F3A" w:rsidRPr="00FF4F3A" w:rsidRDefault="00FF4F3A" w:rsidP="00FF4F3A">
      <w:pPr>
        <w:spacing w:line="240" w:lineRule="auto"/>
        <w:rPr>
          <w:rFonts w:ascii="Times New Roman" w:eastAsia="Aptos" w:hAnsi="Times New Roman" w:cs="Times New Roman"/>
          <w:b/>
          <w:bCs/>
        </w:rPr>
      </w:pPr>
    </w:p>
    <w:p w14:paraId="2149F476" w14:textId="3B444AA8" w:rsidR="00FF4F3A" w:rsidRPr="00FF4F3A" w:rsidRDefault="00FF4F3A" w:rsidP="008948D3">
      <w:pPr>
        <w:spacing w:after="0" w:line="240" w:lineRule="auto"/>
        <w:rPr>
          <w:rFonts w:ascii="Times New Roman" w:eastAsia="Aptos" w:hAnsi="Times New Roman" w:cs="Times New Roman"/>
          <w:b/>
          <w:bCs/>
          <w:i/>
          <w:iCs/>
          <w:vertAlign w:val="superscript"/>
        </w:rPr>
      </w:pPr>
      <w:bookmarkStart w:id="0" w:name="_Hlk217501931"/>
      <w:r w:rsidRPr="00FF4F3A">
        <w:rPr>
          <w:rFonts w:ascii="Times New Roman" w:eastAsia="Aptos" w:hAnsi="Times New Roman" w:cs="Times New Roman"/>
          <w:b/>
          <w:bCs/>
          <w:i/>
          <w:iCs/>
        </w:rPr>
        <w:t>Adeseye Lasekan</w:t>
      </w:r>
      <w:r w:rsidRPr="00FF4F3A">
        <w:rPr>
          <w:rFonts w:ascii="Times New Roman" w:hAnsi="Times New Roman" w:cs="Times New Roman"/>
          <w:b/>
          <w:bCs/>
          <w:i/>
          <w:iCs/>
          <w:lang w:val="en-GB"/>
        </w:rPr>
        <w:t>¹</w:t>
      </w:r>
      <w:r w:rsidRPr="00FF4F3A">
        <w:rPr>
          <w:rFonts w:ascii="Times New Roman" w:hAnsi="Times New Roman" w:cs="Times New Roman"/>
          <w:b/>
          <w:bCs/>
          <w:i/>
          <w:iCs/>
          <w:vertAlign w:val="superscript"/>
        </w:rPr>
        <w:t>*</w:t>
      </w:r>
      <w:r w:rsidR="008948D3">
        <w:rPr>
          <w:rFonts w:ascii="Times New Roman" w:eastAsia="Aptos" w:hAnsi="Times New Roman" w:cs="Times New Roman"/>
          <w:b/>
          <w:bCs/>
          <w:i/>
          <w:iCs/>
        </w:rPr>
        <w:t xml:space="preserve">, </w:t>
      </w:r>
      <w:r w:rsidRPr="00FF4F3A">
        <w:rPr>
          <w:rFonts w:ascii="Times New Roman" w:eastAsia="Aptos" w:hAnsi="Times New Roman" w:cs="Times New Roman"/>
          <w:b/>
          <w:bCs/>
          <w:i/>
          <w:iCs/>
        </w:rPr>
        <w:t>Onyekachi Stephanie Oparah</w:t>
      </w:r>
      <w:r w:rsidRPr="00FF4F3A">
        <w:rPr>
          <w:rFonts w:ascii="Times New Roman" w:eastAsia="Aptos" w:hAnsi="Times New Roman" w:cs="Times New Roman"/>
          <w:b/>
          <w:bCs/>
          <w:i/>
          <w:iCs/>
          <w:vertAlign w:val="superscript"/>
        </w:rPr>
        <w:t xml:space="preserve"> 2</w:t>
      </w:r>
    </w:p>
    <w:bookmarkEnd w:id="0"/>
    <w:p w14:paraId="4CB26C17" w14:textId="725D6C9D" w:rsidR="008948D3" w:rsidRPr="008948D3" w:rsidRDefault="00FF4F3A" w:rsidP="008948D3">
      <w:pPr>
        <w:spacing w:after="0" w:line="240" w:lineRule="auto"/>
        <w:rPr>
          <w:rFonts w:ascii="Aptos" w:eastAsia="Aptos" w:hAnsi="Aptos" w:cs="Times New Roman"/>
          <w:sz w:val="20"/>
          <w:szCs w:val="20"/>
        </w:rPr>
      </w:pPr>
      <w:r w:rsidRPr="00FF4F3A">
        <w:rPr>
          <w:rFonts w:ascii="Times New Roman" w:eastAsia="Aptos" w:hAnsi="Times New Roman" w:cs="Times New Roman"/>
          <w:sz w:val="20"/>
          <w:szCs w:val="20"/>
          <w:vertAlign w:val="superscript"/>
        </w:rPr>
        <w:t>1</w:t>
      </w:r>
      <w:r w:rsidRPr="00FF4F3A">
        <w:rPr>
          <w:rFonts w:ascii="Times New Roman" w:eastAsia="Aptos" w:hAnsi="Times New Roman" w:cs="Times New Roman"/>
          <w:sz w:val="20"/>
          <w:szCs w:val="20"/>
        </w:rPr>
        <w:t>Independent Researcher, Illinois, U.S.A</w:t>
      </w:r>
    </w:p>
    <w:p w14:paraId="657270C7" w14:textId="77777777" w:rsidR="008948D3" w:rsidRPr="008948D3" w:rsidRDefault="00FF4F3A" w:rsidP="008948D3">
      <w:pPr>
        <w:spacing w:after="0" w:line="240" w:lineRule="auto"/>
        <w:rPr>
          <w:rFonts w:ascii="Times New Roman" w:eastAsia="Aptos" w:hAnsi="Times New Roman" w:cs="Times New Roman"/>
          <w:sz w:val="20"/>
          <w:szCs w:val="20"/>
        </w:rPr>
      </w:pPr>
      <w:r w:rsidRPr="00FF4F3A">
        <w:rPr>
          <w:rFonts w:ascii="Times New Roman" w:eastAsia="Aptos" w:hAnsi="Times New Roman" w:cs="Times New Roman"/>
          <w:sz w:val="20"/>
          <w:szCs w:val="20"/>
          <w:vertAlign w:val="superscript"/>
        </w:rPr>
        <w:t>2</w:t>
      </w:r>
      <w:r w:rsidRPr="00FF4F3A">
        <w:rPr>
          <w:rFonts w:ascii="Times New Roman" w:eastAsia="Aptos" w:hAnsi="Times New Roman" w:cs="Times New Roman"/>
          <w:sz w:val="20"/>
          <w:szCs w:val="20"/>
        </w:rPr>
        <w:t>Independent Researcher, U.S.A</w:t>
      </w:r>
    </w:p>
    <w:p w14:paraId="2C9D42C2" w14:textId="105D46D1" w:rsidR="00FF4F3A" w:rsidRPr="00FF4F3A" w:rsidRDefault="00FF4F3A" w:rsidP="008948D3">
      <w:pPr>
        <w:spacing w:after="0" w:line="240" w:lineRule="auto"/>
        <w:rPr>
          <w:rFonts w:ascii="Times New Roman" w:eastAsia="Aptos" w:hAnsi="Times New Roman" w:cs="Times New Roman"/>
        </w:rPr>
      </w:pPr>
      <w:r w:rsidRPr="00FF4F3A">
        <w:rPr>
          <w:rFonts w:ascii="Times New Roman" w:eastAsia="Aptos" w:hAnsi="Times New Roman" w:cs="Times New Roman"/>
          <w:sz w:val="20"/>
          <w:szCs w:val="20"/>
        </w:rPr>
        <w:t>Corresponding Author</w:t>
      </w:r>
      <w:r w:rsidR="008948D3" w:rsidRPr="008948D3">
        <w:rPr>
          <w:rFonts w:ascii="Times New Roman" w:hAnsi="Times New Roman" w:cs="Times New Roman"/>
          <w:b/>
          <w:i/>
          <w:iCs/>
          <w:sz w:val="20"/>
          <w:szCs w:val="20"/>
          <w:vertAlign w:val="superscript"/>
        </w:rPr>
        <w:t>*</w:t>
      </w:r>
      <w:r w:rsidRPr="00FF4F3A">
        <w:rPr>
          <w:rFonts w:ascii="Times New Roman" w:eastAsia="Aptos" w:hAnsi="Times New Roman" w:cs="Times New Roman"/>
          <w:sz w:val="20"/>
          <w:szCs w:val="20"/>
        </w:rPr>
        <w:t>:</w:t>
      </w:r>
      <w:r w:rsidRPr="008948D3">
        <w:rPr>
          <w:rFonts w:ascii="Times New Roman" w:eastAsia="Aptos" w:hAnsi="Times New Roman" w:cs="Times New Roman"/>
          <w:sz w:val="20"/>
          <w:szCs w:val="20"/>
        </w:rPr>
        <w:t xml:space="preserve"> </w:t>
      </w:r>
      <w:hyperlink r:id="rId10" w:history="1">
        <w:r w:rsidRPr="00FF4F3A">
          <w:rPr>
            <w:rStyle w:val="Hyperlink"/>
            <w:rFonts w:ascii="Times New Roman" w:eastAsia="Aptos" w:hAnsi="Times New Roman" w:cs="Times New Roman"/>
            <w:sz w:val="20"/>
            <w:szCs w:val="20"/>
          </w:rPr>
          <w:t>adeseye.lasekan@gmail.com</w:t>
        </w:r>
      </w:hyperlink>
    </w:p>
    <w:p w14:paraId="77FB38C8" w14:textId="77777777" w:rsidR="00FF4F3A" w:rsidRPr="00FF4F3A" w:rsidRDefault="00FF4F3A" w:rsidP="00FF4F3A">
      <w:pPr>
        <w:spacing w:line="240" w:lineRule="auto"/>
        <w:rPr>
          <w:rFonts w:ascii="Times New Roman" w:eastAsia="Aptos" w:hAnsi="Times New Roman" w:cs="Times New Roman"/>
          <w:b/>
          <w:bCs/>
        </w:rPr>
      </w:pPr>
    </w:p>
    <w:p w14:paraId="7BBE40BF" w14:textId="3081B032" w:rsidR="00FF4F3A" w:rsidRPr="00FF4F3A" w:rsidRDefault="008948D3" w:rsidP="00FF4F3A">
      <w:pPr>
        <w:spacing w:line="240" w:lineRule="auto"/>
        <w:rPr>
          <w:rFonts w:ascii="Times New Roman" w:eastAsia="Aptos" w:hAnsi="Times New Roman" w:cs="Times New Roman"/>
          <w:b/>
          <w:bCs/>
          <w:sz w:val="20"/>
          <w:szCs w:val="20"/>
        </w:rPr>
      </w:pPr>
      <w:r w:rsidRPr="008948D3">
        <w:rPr>
          <w:rFonts w:ascii="Times New Roman" w:eastAsia="Aptos" w:hAnsi="Times New Roman" w:cs="Times New Roman"/>
          <w:b/>
          <w:bCs/>
          <w:sz w:val="20"/>
          <w:szCs w:val="20"/>
        </w:rPr>
        <w:t>ABSTRACT</w:t>
      </w:r>
    </w:p>
    <w:p w14:paraId="7F4A59F4" w14:textId="151BF05A" w:rsidR="00A97464" w:rsidRDefault="00FF4F3A" w:rsidP="008948D3">
      <w:pPr>
        <w:spacing w:line="240" w:lineRule="auto"/>
        <w:jc w:val="both"/>
        <w:rPr>
          <w:rFonts w:ascii="Times New Roman" w:eastAsia="Aptos" w:hAnsi="Times New Roman" w:cs="Times New Roman"/>
          <w:i/>
          <w:iCs/>
          <w:sz w:val="20"/>
          <w:szCs w:val="20"/>
        </w:rPr>
      </w:pPr>
      <w:r w:rsidRPr="00FF4F3A">
        <w:rPr>
          <w:rFonts w:ascii="Times New Roman" w:eastAsia="Aptos" w:hAnsi="Times New Roman" w:cs="Times New Roman"/>
          <w:i/>
          <w:iCs/>
          <w:sz w:val="20"/>
          <w:szCs w:val="20"/>
        </w:rPr>
        <w:t>Glucagon-like peptide-1 receptor agonists (GLP-1 RAs) have transformed obesity treatment by producing substantial weight loss and cardiometabolic benefits, yet many individuals regain a large portion of lost weight once therapy is reduced or discontinued. These drugs reshape multiple determinants of eating—hunger, hedonic drive, gastric emptying, food choice, and meal patterns—creating a growing population whose nutritional needs differ from standard dietary guidance and who are particularly vulnerable to appetite rebound and weight regain post-treatment. This narrative review integrates current evidence on GLP-1–induced changes in eating behavior and weight trajectories with established knowledge on nutrients, food structure, and appetite regulation. It examines the roles of protein quantity and quality, viscous and fermentable dietary fibers, hydrocolloids, resistant starch and low–glycemic index carbohydrate systems, dietary energy density, and metabolically supportive dietary patterns. These insights are translated into formulation strategies and product concepts—such as high-satiety beverages, low–energy-density meals, portion-controlled snacks, and glycemic-stabilizing cereal and bakery systems—designed to complement GLP-1 therapy and support weight maintenance after discontinuation. Given that GLP-1–specific nutrition and formulation trials are still scarce, many recommendations are extrapolated from broader obesity and satiety literature, and key evidence gaps are identified. The review provides a mechanistic and application-focused framework to guide food scientists, nutrition researchers, and product developers in creating GLP-1–aligned foods that are physiologically targeted, behaviorally sustainable, and suitable for both active users and former users seeking long-term weight and glycemic stability.</w:t>
      </w:r>
    </w:p>
    <w:p w14:paraId="6BE06AE2" w14:textId="77777777" w:rsidR="00A97464" w:rsidRPr="00A97464" w:rsidRDefault="00A97464" w:rsidP="008948D3">
      <w:pPr>
        <w:spacing w:line="240" w:lineRule="auto"/>
        <w:jc w:val="both"/>
        <w:rPr>
          <w:rFonts w:ascii="Times New Roman" w:eastAsia="Aptos" w:hAnsi="Times New Roman" w:cs="Times New Roman"/>
          <w:i/>
          <w:iCs/>
          <w:sz w:val="20"/>
          <w:szCs w:val="20"/>
        </w:rPr>
      </w:pPr>
    </w:p>
    <w:p w14:paraId="573C9464" w14:textId="4E472976" w:rsidR="008948D3" w:rsidRPr="00A97464" w:rsidRDefault="00A97464" w:rsidP="008948D3">
      <w:pPr>
        <w:spacing w:line="240" w:lineRule="auto"/>
        <w:jc w:val="both"/>
        <w:rPr>
          <w:rFonts w:ascii="Times New Roman" w:eastAsia="Aptos" w:hAnsi="Times New Roman" w:cs="Times New Roman"/>
          <w:i/>
          <w:iCs/>
          <w:sz w:val="20"/>
          <w:szCs w:val="20"/>
        </w:rPr>
      </w:pPr>
      <w:r w:rsidRPr="00A97464">
        <w:rPr>
          <w:rFonts w:ascii="Times New Roman" w:eastAsia="Aptos" w:hAnsi="Times New Roman" w:cs="Times New Roman"/>
          <w:b/>
          <w:bCs/>
          <w:i/>
          <w:iCs/>
          <w:sz w:val="20"/>
          <w:szCs w:val="20"/>
        </w:rPr>
        <w:t>Keywords:</w:t>
      </w:r>
      <w:r w:rsidRPr="00A97464">
        <w:rPr>
          <w:rFonts w:ascii="Times New Roman" w:eastAsia="Aptos" w:hAnsi="Times New Roman" w:cs="Times New Roman"/>
          <w:i/>
          <w:iCs/>
          <w:sz w:val="20"/>
          <w:szCs w:val="20"/>
        </w:rPr>
        <w:t xml:space="preserve"> GLP-1 receptor agonists; weight regain; appetite regulation; eating behavior; food structure; satiety-focused formulation; weight maintenance</w:t>
      </w:r>
    </w:p>
    <w:p w14:paraId="3CC7B2C3" w14:textId="5421C871" w:rsidR="008948D3" w:rsidRPr="00A97464" w:rsidRDefault="008948D3" w:rsidP="008948D3">
      <w:pPr>
        <w:spacing w:line="240" w:lineRule="auto"/>
        <w:jc w:val="both"/>
        <w:rPr>
          <w:rFonts w:ascii="Times New Roman" w:eastAsia="Aptos" w:hAnsi="Times New Roman" w:cs="Times New Roman"/>
          <w:i/>
          <w:iCs/>
          <w:sz w:val="20"/>
          <w:szCs w:val="20"/>
        </w:rPr>
      </w:pPr>
    </w:p>
    <w:p w14:paraId="2F137C94" w14:textId="199F1854" w:rsidR="008948D3" w:rsidRPr="008948D3" w:rsidRDefault="008948D3" w:rsidP="008948D3">
      <w:pPr>
        <w:spacing w:line="240" w:lineRule="auto"/>
        <w:jc w:val="both"/>
        <w:rPr>
          <w:rFonts w:ascii="Times New Roman" w:eastAsia="Aptos" w:hAnsi="Times New Roman" w:cs="Times New Roman"/>
          <w:b/>
          <w:bCs/>
        </w:rPr>
      </w:pPr>
    </w:p>
    <w:p w14:paraId="07750AD6" w14:textId="302D6FB0" w:rsidR="008948D3" w:rsidRPr="008948D3" w:rsidRDefault="008948D3" w:rsidP="008948D3">
      <w:pPr>
        <w:spacing w:line="240" w:lineRule="auto"/>
        <w:jc w:val="both"/>
        <w:rPr>
          <w:rFonts w:ascii="Times New Roman" w:eastAsia="Aptos" w:hAnsi="Times New Roman" w:cs="Times New Roman"/>
          <w:b/>
          <w:bCs/>
        </w:rPr>
      </w:pPr>
    </w:p>
    <w:p w14:paraId="2050342D" w14:textId="77777777" w:rsidR="00FF4F3A" w:rsidRPr="00FF4F3A" w:rsidRDefault="00FF4F3A" w:rsidP="008948D3">
      <w:pPr>
        <w:spacing w:line="240" w:lineRule="auto"/>
        <w:jc w:val="both"/>
        <w:rPr>
          <w:rFonts w:ascii="Times New Roman" w:eastAsia="Aptos" w:hAnsi="Times New Roman" w:cs="Times New Roman"/>
          <w:b/>
          <w:bCs/>
        </w:rPr>
      </w:pPr>
    </w:p>
    <w:p w14:paraId="3FEE5FDE" w14:textId="3BF315DB" w:rsidR="00FF4F3A" w:rsidRPr="007A7523" w:rsidRDefault="008948D3" w:rsidP="007A7523">
      <w:pPr>
        <w:pStyle w:val="ListParagraph"/>
        <w:numPr>
          <w:ilvl w:val="0"/>
          <w:numId w:val="3"/>
        </w:numPr>
        <w:spacing w:before="240" w:line="240" w:lineRule="auto"/>
        <w:jc w:val="both"/>
        <w:rPr>
          <w:rFonts w:ascii="Times New Roman" w:eastAsia="Aptos" w:hAnsi="Times New Roman" w:cs="Times New Roman"/>
          <w:b/>
          <w:bCs/>
        </w:rPr>
      </w:pPr>
      <w:r w:rsidRPr="007A7523">
        <w:rPr>
          <w:rFonts w:ascii="Times New Roman" w:eastAsia="Aptos" w:hAnsi="Times New Roman" w:cs="Times New Roman"/>
          <w:b/>
          <w:bCs/>
        </w:rPr>
        <w:lastRenderedPageBreak/>
        <w:t>INTRODUCTION</w:t>
      </w:r>
    </w:p>
    <w:p w14:paraId="36E09700" w14:textId="77777777" w:rsidR="00FF4F3A" w:rsidRPr="00FF4F3A" w:rsidRDefault="00FF4F3A" w:rsidP="008948D3">
      <w:pPr>
        <w:spacing w:before="240" w:line="240" w:lineRule="auto"/>
        <w:jc w:val="both"/>
        <w:rPr>
          <w:rFonts w:ascii="Times New Roman" w:eastAsia="Aptos" w:hAnsi="Times New Roman" w:cs="Times New Roman"/>
        </w:rPr>
      </w:pPr>
      <w:r w:rsidRPr="00FF4F3A">
        <w:rPr>
          <w:rFonts w:ascii="Times New Roman" w:eastAsia="Aptos" w:hAnsi="Times New Roman" w:cs="Times New Roman"/>
        </w:rPr>
        <w:t>The landscape of obesity treatment has changed dramatically with the widespread adoption of glucagon-like peptide-1 receptor agonists (GLP-1 RAs). Initially developed to improve glycemic control in type 2 diabetes, agents such as liraglutide, semaglutide, and the dual GIP/GLP-1 agonist tirzepatide are now central to evidence-based obesity management due to their ability to produce clinically meaningful and often unprecedented weight loss (Christensen et al., 2024; Jensterle et al., 2023; Levin et al., 2017). Large randomized controlled trials consistently demonstrate average reductions of 10–15% of baseline body weight, with emerging multi-agonists achieving even greater losses (Wen et al., 2024; Purcell et al., 2025). These outcomes, paired with rising global obesity rates, have led to rapid uptake of GLP-1 therapies across clinical and consumer settings.</w:t>
      </w:r>
    </w:p>
    <w:p w14:paraId="610D9C30"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The mechanisms behind GLP-1-induced weight loss extend beyond simple reductions in caloric intake. These agents modulate central appetite pathways, enhance meal-related satiation, reduce hedonic eating, and delay gastric emptying, thereby sustaining fullness well beyond the end of a meal (Jones &amp; Brierley, 2025; Moiz et al., 2025; Wilbon &amp; Kolonin, 2023). They also improve postprandial glycemic control by stimulating glucose-dependent insulin secretion and suppressing glucagon, creating a metabolic environment that supports reduced intake (Zheng et al., 2024). Together, these effects shape a unique appetite and eating-behavior profile that distinguishes GLP-1 users from the general population.</w:t>
      </w:r>
    </w:p>
    <w:p w14:paraId="622DB853" w14:textId="216E3333"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However, a growing body of evidence highlights a major challenge: substantial weight </w:t>
      </w:r>
      <w:r w:rsidR="00B47F99" w:rsidRPr="00FF4F3A">
        <w:rPr>
          <w:rFonts w:ascii="Times New Roman" w:eastAsia="Aptos" w:hAnsi="Times New Roman" w:cs="Times New Roman"/>
        </w:rPr>
        <w:t>regains</w:t>
      </w:r>
      <w:r w:rsidRPr="00FF4F3A">
        <w:rPr>
          <w:rFonts w:ascii="Times New Roman" w:eastAsia="Aptos" w:hAnsi="Times New Roman" w:cs="Times New Roman"/>
        </w:rPr>
        <w:t xml:space="preserve"> after medication discontinuation. Meta-analyses and longitudinal studies show that individuals frequently regain a large proportion of weight lost once pharmacological support is withdrawn, often returning close to baseline levels within months (Kolli et al., 2025; Li et al., 2025; Thomsen et al., 2025). This rebound aligns with physiological reversals—accelerated gastric emptying, restored sensitivity to food cues, increased hunger, and the return of pre-treatment dietary patterns. Data from real-world cohorts further confirm that while GLP-1 therapies are highly effective during use, sustained weight maintenance remains difficult without additional behavioral or nutritional strategies (McEwan et al., 2025; Burra et al., 2025).</w:t>
      </w:r>
    </w:p>
    <w:p w14:paraId="0F052EA8"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Nutritional behavior during GLP-1 treatment also shows distinctive patterns. Studies evaluating diet quality and intake among GLP-1 users reveal reduced total caloric intake, smaller portion sizes, and altered food preferences—often away from high-energy-density or highly palatable foods (Johnson et al., 2025; Christensen et al., 2024). At the same time, some individuals struggle to meet protein requirements or maintain balanced nutrient distribution because appetite suppression limits meal size (Mozaffarian et al., 2025). Research on perceived eating behavior indicates improved control around food, reduced cravings, and reduced cue-driven eating, effects that may diminish following discontinuation (Cheney et al., 2025). These evolving dietary dynamics underscore that GLP-1 users form a distinct nutritional population, with needs that differ during active therapy and during the post-treatment transition.</w:t>
      </w:r>
    </w:p>
    <w:p w14:paraId="54DBA917"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As this population expands, commercial interest in “GLP-1-friendly” foods has surged. Yet the current market lacks products grounded in rigorous scientific understanding. Most rely on generalized claims such as “high-protein” or “low-carb,” without addressing the physiological realities of slowed gastric emptying, altered appetite signaling, gastrointestinal sensitivities, or post-treatment appetite rebound. Meanwhile, the nutrition science literature provides well-established principles that can be strategically leveraged for GLP-1 users—including protein-</w:t>
      </w:r>
      <w:r w:rsidRPr="00FF4F3A">
        <w:rPr>
          <w:rFonts w:ascii="Times New Roman" w:eastAsia="Aptos" w:hAnsi="Times New Roman" w:cs="Times New Roman"/>
        </w:rPr>
        <w:lastRenderedPageBreak/>
        <w:t>mediated satiety (Guarneiri et al., 2025; Watson et al., 2025), viscous soluble fiber for glycemic control and gastric retention (Giuntini et al., 2022; Gidley &amp; Yakubov, 2018), energy-density reduction for sustainable intake control (Rolls, 2017; Robinson et al., 2022), microbiota-mediated metabolic benefits (Mao et al., 2025), and texture-driven modulation of oral processing and fullness (Stribiţcaia et al., 2020). Although these strategies have not yet been extensively tested in GLP-1 users, they align mechanistically with known pharmacological effects and offer promising avenues for targeted product design.</w:t>
      </w:r>
    </w:p>
    <w:p w14:paraId="09F2AAD4" w14:textId="2786158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At the same time, the global food retail environment is shifting in ways that complicate weight maintenance. Increasing dominance of large chain retailers has been linked to greater availability of </w:t>
      </w:r>
      <w:r w:rsidR="00B47F99" w:rsidRPr="00FF4F3A">
        <w:rPr>
          <w:rFonts w:ascii="Times New Roman" w:eastAsia="Aptos" w:hAnsi="Times New Roman" w:cs="Times New Roman"/>
        </w:rPr>
        <w:t>ultra-processed</w:t>
      </w:r>
      <w:r w:rsidRPr="00FF4F3A">
        <w:rPr>
          <w:rFonts w:ascii="Times New Roman" w:eastAsia="Aptos" w:hAnsi="Times New Roman" w:cs="Times New Roman"/>
        </w:rPr>
        <w:t>, energy-dense foods—patterns strongly associated with rising obesity prevalence (Scapin et al., 2025). This environment poses a particular challenge for individuals transitioning off GLP-1 therapy, whose appetite and hedonic drive may intensify just as pharmacological appetite control wanes.</w:t>
      </w:r>
    </w:p>
    <w:p w14:paraId="3D9047D4"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Given these intersecting challenges, the food industry has a critical opportunity—and responsibility—to design foods that support GLP-1 users across the entire treatment lifecycle. To date, no controlled feeding trials have evaluated GLP-1-specific food formulations, and existing clinical research rarely examines nutrient quality, satiety responses, texture tolerance, or glycemic effects in this population. Nevertheless, the nutritional sciences already offer a strong body of evidence that can guide early innovation, while highlighting areas where further research is urgently needed.</w:t>
      </w:r>
    </w:p>
    <w:p w14:paraId="63206E6C" w14:textId="4C1FD966" w:rsid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This narrative review synthesizes current evidence on GLP-1-related eating behavior, weight trajectories, satiety physiology, glycemic regulation, and food-ingredient functionality. It then translates these insights into science-based formulation strategies and conceptual product opportunities that align with both the metabolic needs and the lived experiences of GLP-1 users and former users. By integrating insights from obesity science, sensory engineering, ingredient technology, and metabolic nutrition, this review provides a conceptual foundation for developing next-generation foods capable of supporting satiety, glycemic stability, and long-term weight maintenance in the era of GLP-1–based obesity care.</w:t>
      </w:r>
    </w:p>
    <w:p w14:paraId="7CE40561" w14:textId="77777777" w:rsidR="007A7523" w:rsidRPr="00FF4F3A" w:rsidRDefault="007A7523" w:rsidP="008948D3">
      <w:pPr>
        <w:spacing w:line="240" w:lineRule="auto"/>
        <w:jc w:val="both"/>
        <w:rPr>
          <w:rFonts w:ascii="Times New Roman" w:eastAsia="Aptos" w:hAnsi="Times New Roman" w:cs="Times New Roman"/>
          <w:b/>
          <w:bCs/>
        </w:rPr>
      </w:pPr>
    </w:p>
    <w:p w14:paraId="6E392057" w14:textId="232EB341" w:rsidR="00FF4F3A" w:rsidRPr="007A7523" w:rsidRDefault="00996E67" w:rsidP="00A97464">
      <w:pPr>
        <w:pStyle w:val="ListParagraph"/>
        <w:numPr>
          <w:ilvl w:val="0"/>
          <w:numId w:val="3"/>
        </w:numPr>
        <w:spacing w:line="240" w:lineRule="auto"/>
        <w:rPr>
          <w:rFonts w:ascii="Times New Roman" w:eastAsia="Aptos" w:hAnsi="Times New Roman" w:cs="Times New Roman"/>
          <w:b/>
          <w:bCs/>
        </w:rPr>
      </w:pPr>
      <w:r w:rsidRPr="007A7523">
        <w:rPr>
          <w:rFonts w:ascii="Times New Roman" w:eastAsia="Aptos" w:hAnsi="Times New Roman" w:cs="Times New Roman"/>
          <w:b/>
          <w:bCs/>
        </w:rPr>
        <w:t>GLP-1 RECEPTOR</w:t>
      </w:r>
      <w:r>
        <w:rPr>
          <w:rFonts w:ascii="Times New Roman" w:eastAsia="Aptos" w:hAnsi="Times New Roman" w:cs="Times New Roman"/>
          <w:b/>
          <w:bCs/>
        </w:rPr>
        <w:t xml:space="preserve"> </w:t>
      </w:r>
      <w:r w:rsidRPr="007A7523">
        <w:rPr>
          <w:rFonts w:ascii="Times New Roman" w:eastAsia="Aptos" w:hAnsi="Times New Roman" w:cs="Times New Roman"/>
          <w:b/>
          <w:bCs/>
        </w:rPr>
        <w:t>AGONISTS, WEIGHT TRAJECTORIES, AND EATING BEHAVIOR</w:t>
      </w:r>
    </w:p>
    <w:p w14:paraId="209A9428"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Glucagon-like peptide-1 receptor agonists (GLP-1 RAs) are a class of incretin-based therapies that mimic or enhance the activity of endogenous GLP-1, a gut-derived hormone involved in glucose regulation and appetite control (Levin et al., 2017; Moiz et al., 2025; Wilbon &amp; Kolonin, 2023; Zheng et al., 2024). These agents bind to the GLP-1 receptor on pancreatic β-cells to stimulate glucose-dependent insulin secretion, suppress glucagon release, and improve postprandial glucose homeostasis; they also act on central appetite-regulating pathways and slow gastric emptying, collectively contributing to reduced energy intake and clinically meaningful weight loss (Jones &amp; Brierley, 2025; Levin et al., 2017; Moiz et al., 2025; Wilbon &amp; Kolonin, 2023; Zheng et al., 2024). Several structurally distinct agonists have been developed, including short-acting forms such as exenatide and lixisenatide, and long-acting forms such as liraglutide, dulaglutide, semaglutide, and the dual GIP/GLP-1 agonist tirzepatide, which demonstrate variable pharmacokinetics but share similar metabolic effects (Jensterle et al., 2022; Purcell et al., 2025; Wen et al., 2024; Zheng et al., </w:t>
      </w:r>
      <w:r w:rsidRPr="00FF4F3A">
        <w:rPr>
          <w:rFonts w:ascii="Times New Roman" w:eastAsia="Aptos" w:hAnsi="Times New Roman" w:cs="Times New Roman"/>
        </w:rPr>
        <w:lastRenderedPageBreak/>
        <w:t>2024). Commercially, exenatide (Byetta; approved in 2005) was the first GLP-1 RA introduced for type 2 diabetes management, followed by long-acting agents such as liraglutide (Victoza) and semaglutide (Ozempic) for glycemic control (Levin et al., 2017; Jensterle et al., 2022). Semaglutide later received FDA approval as Wegovy for chronic weight management in adolescents and adults, marking a pivotal expansion into obesity pharmacotherapy (Jensterle et al., 2022; Wen et al., 2024). More recently, tirzepatide (Mounjaro) was approved for type 2 diabetes and is under regulatory review globally for obesity due to its substantial weight-lowering effects demonstrated in clinical trials (Purcell et al., 2025; Wen et al., 2024).</w:t>
      </w:r>
    </w:p>
    <w:p w14:paraId="65328165"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GLP-1 RAs were originally developed as glucose-lowering agents, but their consistent effects on body weight quickly propelled them into the center of obesity pharmacotherapy (Levin et al., 2017; Moiz et al., 2025b; Wilbon &amp; Kolonin, 2023). Systematic reviews and comparative effectiveness research synthesize data from randomized controlled trials and real-world cohorts, showing that across different molecules and dosing regimens, GLP-1 RAs reliably reduce body weight in adults with obesity, with or without diabetes (Jensterle et al., 2022; Levin et al., 2017; Nunns et al., 2025; Purcell et al., 2025; Thomsen et al., 2025; Wen et al., 2024). Studies comparing semaglutide with liraglutide or other long-acting agents report that semaglutide often yields greater mean percentage weight loss, particularly at higher doses, while dual agonists such as efinopegdutide and emerging GIP/GLP-1 co-agonists provide further incremental reductions in some trials (Purcell et al., 2025; Wen et al., 2024). Network meta-analyses evaluating long-term trajectories of GLP-1 RAs demonstrate that weight loss tends to be most rapid in the first several months, followed by a plateau phase and, in some individuals, partial regain even while medication is continued (Li et al., 2025; Nunns et al., 2025). Real-world evidence on utilization and clinical effectiveness of newer GLP-1 RA-based weight-loss therapies confirms that, when prescribed at scale, these drugs can produce substantial mean weight reductions, but they also highlight variability in response and the role of adherence, dose titration, and treatment duration (Thomsen et al., 2025).</w:t>
      </w:r>
    </w:p>
    <w:p w14:paraId="5D9AE8BD"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Substantial attention has recently turned to what happens when these therapies are reduced or stopped. The meta-analysis on weight regain after GLP-1 RAs and other anti-obesity drugs collates data from trials in which medications were discontinued after a period of induced weight loss (Kolli et al., 2025). Across GLP-1 agents, this analysis indicates that a large fraction of lost weight is typically regained over the months following cessation, and in some cases weight approaches or returns to baseline levels (Kolli et al., 2025; Li et al., 2025). The degree of regain varies by drug, trial design, and follow-up length, but the overarching pattern is one of partial or substantial reversal of benefits when pharmacological support is withdrawn (Kolli et al., 2025; Nunns et al., 2025). Long-term trajectory reviews similarly underscore that without either continued medication or additional supportive strategies, weight maintenance is difficult to sustain, reflecting underlying biological adaptations and environmental pressures (Li et al., 2025; Romieu et al., 2017; Scapin et al., 2025).</w:t>
      </w:r>
    </w:p>
    <w:p w14:paraId="1ADF8DD4"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Mechanistic reviews on GLP-1 receptor agonist–induced weight loss and the neurobiology of eating control provide a conceptual bridge between these clinical patterns and physiology. They describe how GLP-1 signaling in the brain influences key nuclei involved in hunger, satiety, and reward, including the hypothalamus and mesolimbic pathways, while peripheral actions slow gastric emptying and potentiate glucose-dependent insulin secretion (Jones &amp; Brierley, 2025; Moiz et al., 2025; Wilbon &amp; Kolonin, 2023; Zheng et al., 2024). Together, these actions reduce energy intake by enhancing meal-related satiation, reducing preoccupation with food, and diminishing hedonic drive to eat, particularly for high-calorie, palatable foods (Jones &amp; Brierley, 2025; Moiz </w:t>
      </w:r>
      <w:r w:rsidRPr="00FF4F3A">
        <w:rPr>
          <w:rFonts w:ascii="Times New Roman" w:eastAsia="Aptos" w:hAnsi="Times New Roman" w:cs="Times New Roman"/>
        </w:rPr>
        <w:lastRenderedPageBreak/>
        <w:t>et al., 2025). Importantly, when GLP-1 RA exposure is removed, these modulatory effects are expected to wane, allowing pre-existing or adaptive drives to regain weight to reassert themselves (Kolli et al., 2025; Li et al., 2025; Moiz et al., 2025). The meta-analytic evidence on post-drug weight regain is thus consistent with a model in which GLP-1 RAs help override, but do not permanently reset, the defended body weight range (Kolli et al., 2025).</w:t>
      </w:r>
    </w:p>
    <w:p w14:paraId="0D50B877" w14:textId="0A832F5F"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Complementing these mechanistic and outcome-focused data, a small but growing set of studies directly assess diet quality, nutrient intake, and perceived eating behaviors in GLP-1 RA users. One narrative review of dietary intake among patients taking GLP-1 and dual GIP/GLP-1 receptor agonists </w:t>
      </w:r>
      <w:r w:rsidR="00B47F99" w:rsidRPr="00FF4F3A">
        <w:rPr>
          <w:rFonts w:ascii="Times New Roman" w:eastAsia="Aptos" w:hAnsi="Times New Roman" w:cs="Times New Roman"/>
        </w:rPr>
        <w:t>synthesize</w:t>
      </w:r>
      <w:r w:rsidRPr="00FF4F3A">
        <w:rPr>
          <w:rFonts w:ascii="Times New Roman" w:eastAsia="Aptos" w:hAnsi="Times New Roman" w:cs="Times New Roman"/>
        </w:rPr>
        <w:t xml:space="preserve"> data from trials and observational cohorts that measured energy and macronutrient intake, often via food records or recalls (Christensen et al., 2024). These studies generally report reductions in total caloric intake during GLP-1 therapy, with some suggesting modest shifts away from high-fat, energy-dense foods, although the evidence remains heterogeneous (Christensen et al., 2024). A dedicated study on diet quality and nutrient distribution while using GLP-1 RAs adds granularity by examining how medication use correlates with adherence to nutrient recommendations and dietary patterns, indicating that while caloric intake tends to fall, overall diet quality may not automatically shift toward more healthful patterns in all individuals (Johnson et al., 2025). The authors of this work emphasize the need to integrate nutritional counseling with pharmacotherapy to ensure that lower energy intake is aligned with sufficient nutrient density (Johnson et al., 2025; Mozaffarian et al., 2025).</w:t>
      </w:r>
    </w:p>
    <w:p w14:paraId="6CC1546A"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Research on perceived eating behaviors in GLP-1 RA users adds another dimension. A study assessing the impact of GLP-1 RAs on perceived eating behaviors in response to stimuli reports changes in constructs such as external eating, emotional eating, and cognitive restraint (Cheney et al., 2025). Participants often describe reduced susceptibility to food cues and improved sense of control over intake while on treatment, consistent with central GLP-1 effects on reward and decision-making circuits (Cheney et al., 2025; Jones &amp; Brierley, 2025). However, these studies rarely include extended follow-up after treatment cessation, leaving open questions about how quickly such perceived gains erode and whether patients feel a marked “rebound” in food preoccupation and cravings.</w:t>
      </w:r>
    </w:p>
    <w:p w14:paraId="4FD066A2"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These findings indicate that GLP-1 RAs reshape both weight trajectories and the psychological and physiological drivers of eating, at least during active pharmacotherapy. Yet, there is a notable paucity of GLP-1-specific data on the details of what people eat—food group distributions, degree of processing, eating occasions, and context—and how these patterns relate to weight outcomes over time (Christensen et al., 2024; Johnson et al., 2025). The narrative review of dietary intake explicitly calls for more granular intake characterization and controlled feeding studies in GLP-1-treated populations, highlighting this as a major research need (Christensen et al., 2024; Mozaffarian et al., 2025).</w:t>
      </w:r>
    </w:p>
    <w:p w14:paraId="08FE4612" w14:textId="77777777" w:rsidR="00FF4F3A" w:rsidRPr="00FF4F3A" w:rsidRDefault="00FF4F3A" w:rsidP="008948D3">
      <w:pPr>
        <w:spacing w:line="240" w:lineRule="auto"/>
        <w:jc w:val="both"/>
        <w:rPr>
          <w:rFonts w:ascii="Times New Roman" w:eastAsia="Aptos" w:hAnsi="Times New Roman" w:cs="Times New Roman"/>
          <w:b/>
          <w:bCs/>
        </w:rPr>
      </w:pPr>
    </w:p>
    <w:p w14:paraId="1DD2E5A0" w14:textId="3F9E4062" w:rsidR="00FF4F3A" w:rsidRPr="00FF4F3A" w:rsidRDefault="00996E67" w:rsidP="00996E67">
      <w:pPr>
        <w:numPr>
          <w:ilvl w:val="0"/>
          <w:numId w:val="3"/>
        </w:numPr>
        <w:spacing w:before="240" w:after="0" w:line="240" w:lineRule="auto"/>
        <w:contextualSpacing/>
        <w:jc w:val="both"/>
        <w:rPr>
          <w:rFonts w:ascii="Times New Roman" w:eastAsia="Aptos" w:hAnsi="Times New Roman" w:cs="Times New Roman"/>
          <w:b/>
          <w:bCs/>
        </w:rPr>
      </w:pPr>
      <w:r w:rsidRPr="00FF4F3A">
        <w:rPr>
          <w:rFonts w:ascii="Times New Roman" w:eastAsia="Aptos" w:hAnsi="Times New Roman" w:cs="Times New Roman"/>
          <w:b/>
          <w:bCs/>
        </w:rPr>
        <w:t>NUTRIENTS AND FOOD PROPERTIES RELEVANT TO SATIETY, GLYCEMIC CONTROL, AND WEIGHT MAINTENANCE</w:t>
      </w:r>
    </w:p>
    <w:p w14:paraId="2E799E38" w14:textId="566459AD" w:rsidR="00277B15" w:rsidRDefault="00FF4F3A" w:rsidP="00996E67">
      <w:pPr>
        <w:spacing w:before="240" w:after="0" w:line="240" w:lineRule="auto"/>
        <w:jc w:val="both"/>
        <w:rPr>
          <w:rFonts w:ascii="Times New Roman" w:eastAsia="Aptos" w:hAnsi="Times New Roman" w:cs="Times New Roman"/>
        </w:rPr>
      </w:pPr>
      <w:r w:rsidRPr="00FF4F3A">
        <w:rPr>
          <w:rFonts w:ascii="Times New Roman" w:eastAsia="Aptos" w:hAnsi="Times New Roman" w:cs="Times New Roman"/>
        </w:rPr>
        <w:t xml:space="preserve">The evidence reviewed in the previous section demonstrates that while GLP-1 receptor agonists exert powerful effects on appetite regulation, energy intake, and weight loss during active treatment, these pharmacological benefits are not maintained in many individuals once the medication is reduced or discontinued (Kolli et al., 2025; Li et al., 2025; Thomsen et al., 2025). </w:t>
      </w:r>
      <w:r w:rsidRPr="00FF4F3A">
        <w:rPr>
          <w:rFonts w:ascii="Times New Roman" w:eastAsia="Aptos" w:hAnsi="Times New Roman" w:cs="Times New Roman"/>
        </w:rPr>
        <w:lastRenderedPageBreak/>
        <w:t>Weight regain (often substantial) reflects a convergence of physiological and behavioral pressures, including the waning of central GLP-1 signaling, the restoration of faster gastric emptying, heightened responsiveness to food cues, and the re-emergence of pre-existing dietary patterns that may favor energy-dense, low-satiety foods (Christensen et al., 2024; Jones &amp; Brierley, 2025; Moiz et al., 2025; Mozaffarian et al., 2025). These dynamics underscore a fundamental challenge: GLP-1 RAs do not permanently recalibrate the defended body weight range or the underlying mechanisms driving hunger, reward, and metabolic compensation (Kolli et al., 2025; Romieu et al., 2017). As a result, individuals transitioning off therapy require sustainable strategies to help maintain reduced energy intake, stabilize glycemic responses, and buffer against appetite rebound. Within this context, a targeted focus on nutrients and food properties that promote satiety, modulate postprandial glucose, influence gastric emptying, and support sustained appetite control becomes essential. The scientific understanding of how protein quality, soluble and fermentable fibers, hydrocolloid-induced viscosity, energy density, and food texture influence physiological and behavioral drivers of intake provides a valuable foundation for developing food products tailored to the unique needs of GLP-1 users (Anjom-Shoae et al., 2024; Chambers et al., 2014; Clark &amp; Slavin, 2013; Giuntini et al., 2022; Stribiţcaia et al., 2020). Leveraging these evidence-based principles offers a pathway to designing foods that complement pharmacotherapy during treatment and help uphold its benefits during the vulnerable post-discontinuation phase.</w:t>
      </w:r>
    </w:p>
    <w:p w14:paraId="62D12EA4" w14:textId="77777777" w:rsidR="00277B15" w:rsidRPr="00FF4F3A" w:rsidRDefault="00277B15" w:rsidP="00277B15">
      <w:pPr>
        <w:spacing w:after="0" w:line="240" w:lineRule="auto"/>
        <w:jc w:val="both"/>
        <w:rPr>
          <w:rFonts w:ascii="Times New Roman" w:eastAsia="Aptos" w:hAnsi="Times New Roman" w:cs="Times New Roman"/>
        </w:rPr>
      </w:pPr>
    </w:p>
    <w:p w14:paraId="17481F55" w14:textId="777ACFFF" w:rsidR="00FF4F3A" w:rsidRPr="00277B15" w:rsidRDefault="00FF4F3A" w:rsidP="00277B15">
      <w:pPr>
        <w:pStyle w:val="ListParagraph"/>
        <w:numPr>
          <w:ilvl w:val="1"/>
          <w:numId w:val="4"/>
        </w:numPr>
        <w:spacing w:after="0" w:line="240" w:lineRule="auto"/>
        <w:jc w:val="both"/>
        <w:rPr>
          <w:rFonts w:ascii="Times New Roman" w:eastAsia="Aptos" w:hAnsi="Times New Roman" w:cs="Times New Roman"/>
          <w:b/>
          <w:bCs/>
        </w:rPr>
      </w:pPr>
      <w:r w:rsidRPr="00277B15">
        <w:rPr>
          <w:rFonts w:ascii="Times New Roman" w:eastAsia="Aptos" w:hAnsi="Times New Roman" w:cs="Times New Roman"/>
          <w:b/>
          <w:bCs/>
        </w:rPr>
        <w:t>Protein Quality, Quantity, and Their Role in Satiety and Metabolic Regulation</w:t>
      </w:r>
    </w:p>
    <w:p w14:paraId="44E6B5AD" w14:textId="77777777" w:rsidR="00FF4F3A" w:rsidRPr="00FF4F3A" w:rsidRDefault="00FF4F3A" w:rsidP="00277B15">
      <w:pPr>
        <w:spacing w:line="240" w:lineRule="auto"/>
        <w:jc w:val="both"/>
        <w:rPr>
          <w:rFonts w:ascii="Times New Roman" w:eastAsia="Aptos" w:hAnsi="Times New Roman" w:cs="Times New Roman"/>
        </w:rPr>
      </w:pPr>
      <w:r w:rsidRPr="00FF4F3A">
        <w:rPr>
          <w:rFonts w:ascii="Times New Roman" w:eastAsia="Aptos" w:hAnsi="Times New Roman" w:cs="Times New Roman"/>
        </w:rPr>
        <w:t>Protein is consistently recognized as the most satiating macronutrient, and its effects on appetite regulation are well supported across numerous controlled trials. Acute preload studies, including those summarized by Chambers et al. (2014), show that higher-protein meals typically reduce subjective hunger and short-term energy intake more effectively than isoenergetic meals lower in protein. A narrative and meta-analytic synthesis reviewed by Guarneiri et al. (2025) reinforces this pattern, reporting that protein-enriched meals increase fullness, reduce hunger and desire to eat, suppress ghrelin, and elevate anorexigenic gastrointestinal hormones such as GLP-1, PYY, and CCK—particularly when meals contain approximately 30–35 g of protein. These findings support the concept of a per-meal protein threshold necessary to elicit meaningful satiety responses, providing an important benchmark for formulation strategies aimed at GLP-1 users who benefit from reinforcing appetite-control mechanisms pharmacologically initiated by GLP-1 receptor agonists.</w:t>
      </w:r>
    </w:p>
    <w:p w14:paraId="61D497B8" w14:textId="77777777" w:rsidR="00FF4F3A" w:rsidRPr="00FF4F3A" w:rsidRDefault="00FF4F3A" w:rsidP="00277B15">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Short-term satiation and longer-lasting satiety are mediated through distinct physiological processes, and protein influences both. As outlined by Morell and Fiszman (2016), the immediate termination of eating (satiation) is shaped by factors such as oro-sensory exposure, gastric distension, and early postprandial hormone release, whereas extended satiety between meals is influenced by digestion kinetics, prolonged aminoacidemia, and sustained endocrine responses (Ignot-Gutiérrez et al., 2024; Morell &amp; Fiszman, 2016). Rapidly digested proteins like whey typically produce sharp early increases in GLP-1 and PYY, promoting robust short-term satiety, while slowly digested proteins, particularly casein, form gels in the stomach, slow gastric emptying, and maintain elevated amino acid levels for several hours, producing more enduring satiety (Chambers et al., 2014; Miller et al., 2021; Morell &amp; Fiszman, 2016). Controlled feeding studies support this temporal distinction: whey-rich breakfasts often reduce energy intake at the next meal, whereas casein-dominant meals sustain fullness deeper into the postprandial period (Chambers et al., 2014; Watson et al., 2025). These mechanistic and behavioral findings together emphasize that protein’s appetite-regulating effects are time-dependent and that its functional </w:t>
      </w:r>
      <w:r w:rsidRPr="00FF4F3A">
        <w:rPr>
          <w:rFonts w:ascii="Times New Roman" w:eastAsia="Aptos" w:hAnsi="Times New Roman" w:cs="Times New Roman"/>
        </w:rPr>
        <w:lastRenderedPageBreak/>
        <w:t>properties—not solely its quantity—determine both immediate satiation and long-lasting hunger suppression (Anjom-Shoae et al., 2024; Morell &amp; Fiszman, 2016).</w:t>
      </w:r>
    </w:p>
    <w:p w14:paraId="33CD60EF"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Comparative research on animal and plant protein sources further illustrates how digestion rate, amino acid composition, and physical structure shape satiety outcomes. Dairy proteins, especially whey and casein, generally elicit stronger hormonal satiety responses and higher subjective fullness compared with many plant proteins, due in part to their high indispensable amino acid content and distinctive digestion profiles (Anjom-Shoae et al., 2024; Chambers et al., 2014; Watson et al., 2025). Plant proteins such as soy or pea often exhibit slower or less pronounced short-term satiety effects, but these differences can narrow when plant proteins are processed for improved digestibility or when combined with dietary fiber (Ivanova et al., 2021; Watson et al., 2025). Evidence from breakfast studies examined by Watson et al. (2025) demonstrates that when protein dose and energy content are matched, plant-based and animal-based high-protein meals can produce similar GLP-1 and PYY responses and comparable reductions in subjective appetite, as well as similar ad libitum energy intake at subsequent meals. However, variability persists across studies: some report stronger satiety hormone responses after whey than soy or casein, whereas others show pea protein suppressing appetite more effectively than whey despite comparable gut hormone patterns (Anjom-Shoae et al., 2024; Ignot-Gutiérrez et al., 2024; Watson et al., 2025). These inconsistencies highlight that subjective satiety does not always align perfectly with peptide responses and that real-world satiety depends on interactions among amino acid profile, peptide release, processing method, and food matrix (Chambers et al., 2014; Morell &amp; Fiszman, 2016).</w:t>
      </w:r>
    </w:p>
    <w:p w14:paraId="690C8AA9"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Product design considerations are further informed by research on protein-induced thermogenesis and body composition. Higher-protein diets (typically ≥1.2–1.3 g/kg/day or ≥25% of total energy) produce modest improvements in fat mass loss and help preserve fat-free mass and resting energy expenditure during energy restriction (Guarneiri et al., 2025; Miller et al., 2021). Evidence from long-term trials and weight-maintenance studies, including the work synthesized by Guarneiri et al. (2025), indicates that maintaining a moderately higher protein intake after weight loss yields small but consistent benefits for mitigating weight regain. These effects are modest—often less than 1 kg over many months—but biologically meaningful, particularly for individuals transitioning off GLP-1 therapy who face increased susceptibility to weight rebound driven by heightened appetite, reduced energy expenditure, and re-emerging metabolic efficiency (Guarneiri et al., 2025; Mozaffarian et al., 2025).</w:t>
      </w:r>
    </w:p>
    <w:p w14:paraId="21306D6F"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Beyond whole-food proteins, emerging research suggests that bioactive peptides released during protein digestion may further modulate appetite and metabolic regulation. Ignot-Gutiérrez et al. (2024) synthesize evidence showing that both animal- and plant-derived proteins can yield digestion products that stimulate GLP-1, CCK, and PYY secretion. Tripeptides derived from rapeseed and soy hydrolysates, for example, have been shown in preclinical models to reduce food intake and enhance satiety-hormone release, while dairy, egg, marine, and legume proteins generate diverse peptide sequences with potential endocrine activity (Ignot-Gutiérrez et al., 2024). Although translational human evidence remains limited, these findings raise the possibility of designing protein hydrolysates or peptide-enriched ingredients that amplify endogenous incretin signaling—an especially relevant opportunity for foods intended to complement GLP-1 pharmacotherapy (Anjom-Shoae et al., 2024; Ignot-Gutiérrez et al., 2024).</w:t>
      </w:r>
    </w:p>
    <w:p w14:paraId="59E2EE59"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lastRenderedPageBreak/>
        <w:t>A broader understanding of protein’s functional role in satiety also requires attention to the meal context, food matrix, and sensory properties. Work by Morell and Fiszman (2016) highlights that satiety responses are influenced not only by protein quantity but also by how proteins interact with other macronutrients, the viscosity and structure of the food matrix, and sensory cues such as texture and flavor. Acute trials robustly show that higher-protein preloads suppress intake at the next eating occasion, yet the persistence of these effects under long-term, free-living conditions is variable (Chambers et al., 2014; Guarneiri et al., 2025; Morell &amp; Fiszman, 2016). This distinction is crucial for GLP-1 users: while protein-rich foods can meaningfully shape meal-by-meal appetite and short-term energy intake, they should be integrated into broader dietary strategies rather than expected to independently maintain substantial pharmacologically induced weight loss (Mozaffarian et al., 2025).</w:t>
      </w:r>
    </w:p>
    <w:p w14:paraId="71DEC0EB"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Finally, evidence comparing animal- and plant-forward dietary patterns underscores that both can support satiety, weight management, and metabolic health when designed appropriately (Anjom-Shoae et al., 2024; Ivanova et al., 2021). Higher-protein dietary interventions—whether from lean meats, dairy, seafood, legumes, soy, or high-protein grains—tend to improve cardiometabolic markers and support modest weight loss when they displace refined carbohydrates and added sugars (Anjom-Shoae et al., 2024; Guarneiri et al., 2025). Plant-based diets often show advantages for weight control and glycemic regulation, but these benefits typically arise from combined effects of higher fiber intake, lower energy density, and overall diet quality rather than protein source alone (Ivanova et al., 2021). For GLP-1 users and former users, these findings suggest that a flexible approach emphasizing diverse, minimally processed protein sources—paired with controlled energy density and adequate micronutrient intake—may be most supportive of satiety, glycemic stability, and weight maintenance (Mozaffarian et al., 2025).</w:t>
      </w:r>
    </w:p>
    <w:p w14:paraId="3D592C76" w14:textId="37170DFB" w:rsidR="00FF4F3A" w:rsidRDefault="00FF4F3A" w:rsidP="00277B15">
      <w:pPr>
        <w:spacing w:after="0" w:line="240" w:lineRule="auto"/>
        <w:jc w:val="both"/>
        <w:rPr>
          <w:rFonts w:ascii="Times New Roman" w:eastAsia="Aptos" w:hAnsi="Times New Roman" w:cs="Times New Roman"/>
        </w:rPr>
      </w:pPr>
      <w:r w:rsidRPr="00FF4F3A">
        <w:rPr>
          <w:rFonts w:ascii="Times New Roman" w:eastAsia="Aptos" w:hAnsi="Times New Roman" w:cs="Times New Roman"/>
        </w:rPr>
        <w:t>The integrated literature positions protein quantity as a primary determinant of acute satiation and thermogenesis, with protein quality and physicochemical characteristics shaping the timing and magnitude of satiety responses (Anjom-Shoae et al., 2024; Chambers et al., 2014; Guarneiri et al., 2025; Morell &amp; Fiszman, 2016). When applied to product formulation for GLP-1 users, these insights point toward strategies that combine sufficient protein doses (≈25–35 g per meal) with tailored digestion kinetics, bioactive peptide potential, and consumer-acceptable formats. Blending rapidly and slowly digested proteins, optimizing plant protein digestibility, and leveraging peptide-rich hydrolysates represent promising pathways for designing foods that reinforce both early meal termination and sustained postprandial satiety, ultimately supporting better appetite regulation and long-term weight management in this emerging consumer group.</w:t>
      </w:r>
    </w:p>
    <w:p w14:paraId="0A801966" w14:textId="77777777" w:rsidR="00277B15" w:rsidRPr="00FF4F3A" w:rsidRDefault="00277B15" w:rsidP="00277B15">
      <w:pPr>
        <w:spacing w:after="0" w:line="240" w:lineRule="auto"/>
        <w:jc w:val="both"/>
        <w:rPr>
          <w:rFonts w:ascii="Times New Roman" w:eastAsia="Aptos" w:hAnsi="Times New Roman" w:cs="Times New Roman"/>
        </w:rPr>
      </w:pPr>
    </w:p>
    <w:p w14:paraId="210B92B8" w14:textId="4A7B1B7D" w:rsidR="00FF4F3A" w:rsidRPr="00277B15" w:rsidRDefault="00FF4F3A" w:rsidP="00277B15">
      <w:pPr>
        <w:pStyle w:val="ListParagraph"/>
        <w:numPr>
          <w:ilvl w:val="1"/>
          <w:numId w:val="4"/>
        </w:numPr>
        <w:spacing w:after="0" w:line="240" w:lineRule="auto"/>
        <w:jc w:val="both"/>
        <w:rPr>
          <w:rFonts w:ascii="Times New Roman" w:eastAsia="Aptos" w:hAnsi="Times New Roman" w:cs="Times New Roman"/>
          <w:b/>
          <w:bCs/>
        </w:rPr>
      </w:pPr>
      <w:r w:rsidRPr="00277B15">
        <w:rPr>
          <w:rFonts w:ascii="Times New Roman" w:eastAsia="Aptos" w:hAnsi="Times New Roman" w:cs="Times New Roman"/>
          <w:b/>
          <w:bCs/>
        </w:rPr>
        <w:t>Role of Dietary Fibers in Satiety and Glycemic Modulation</w:t>
      </w:r>
    </w:p>
    <w:p w14:paraId="54086D3E" w14:textId="77777777" w:rsidR="00FF4F3A" w:rsidRPr="00FF4F3A" w:rsidRDefault="00FF4F3A" w:rsidP="00277B15">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Dietary fibers comprise a heterogenous group of nondigestible carbohydrates that influence appetite regulation, gastric motility, postprandial metabolism, and glycemic control through mechanisms shaped by their solubility, viscosity, fermentability, and structural properties (Clark &amp; Slavin, 2013; Gidley &amp; Yakubov, 2018; Giuntini et al., 2022). Across controlled trials, viscous soluble fibers such as β-glucan, psyllium, guar gum, pectin, and inulin tend to exert the strongest physiological effects, although findings vary by fiber type, dose, and the food matrix in which they are delivered (Clark &amp; Slavin, 2013; Giuntini et al., 2022; Machalias et al., 2025; Wu et al., 2023). Evidence from both mechanistic and clinical research shows that fiber-induced modulation of gastric emptying, gut hormone secretion, and glucose absorption can meaningfully alter appetite sensations and glycemic excursions, making fiber a critical design component for foods intended </w:t>
      </w:r>
      <w:r w:rsidRPr="00FF4F3A">
        <w:rPr>
          <w:rFonts w:ascii="Times New Roman" w:eastAsia="Aptos" w:hAnsi="Times New Roman" w:cs="Times New Roman"/>
        </w:rPr>
        <w:lastRenderedPageBreak/>
        <w:t>to support GLP-1 users—particularly those discontinuing therapy and experiencing heightened appetite drive (Giuntini et al., 2022; Machalias et al., 2025; Wu et al., 2023).</w:t>
      </w:r>
    </w:p>
    <w:p w14:paraId="6253B98A" w14:textId="77777777" w:rsidR="00FF4F3A" w:rsidRPr="00FF4F3A" w:rsidRDefault="00FF4F3A" w:rsidP="00277B15">
      <w:pPr>
        <w:spacing w:line="240" w:lineRule="auto"/>
        <w:jc w:val="both"/>
        <w:rPr>
          <w:rFonts w:ascii="Times New Roman" w:eastAsia="Aptos" w:hAnsi="Times New Roman" w:cs="Times New Roman"/>
        </w:rPr>
      </w:pPr>
      <w:r w:rsidRPr="00FF4F3A">
        <w:rPr>
          <w:rFonts w:ascii="Times New Roman" w:eastAsia="Aptos" w:hAnsi="Times New Roman" w:cs="Times New Roman"/>
        </w:rPr>
        <w:t>Short-term satiety effects of fiber, however, are inconsistent. The systematic review by Clark and Slavin (2013), which analyzed 107 fiber treatments across 44 publications, demonstrates that only 39% of treatments significantly enhanced subjective satiety and just 22% reduced subsequent energy intake. These findings suggest that not all fibers exert meaningful acute satiety effects, and that fiber type and delivery format are pivotal determinants. For instance, β-glucan from oats and barley, lupin kernel fiber, rye bran, and mixed whole-grain diets consistently demonstrated satiety benefits across multiple trials, whereas psyllium, resistant starches (RS1–RS3), wheat bran, and Fiber One products showed little or no effect (Clark &amp; Slavin, 2013; Machalias et al., 2025). Importantly, satiety ratings often did not align with actual food intake: among treatments with no effect on satiety, fully 86% also showed no effect on energy intake, underscoring the limited reliability of subjective appetite measures for predicting behavioral outcomes (Clark &amp; Slavin, 2013).</w:t>
      </w:r>
    </w:p>
    <w:p w14:paraId="4101D10E" w14:textId="1F738B9D"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Beyond appetite, dietary fibers exert robust and more consistent effects on glycemic modulation, especially soluble fibers that increase chyme viscosity and delay nutrient absorption. Giuntini et al. (2022) summarize </w:t>
      </w:r>
      <w:r w:rsidR="00B47F99" w:rsidRPr="00FF4F3A">
        <w:rPr>
          <w:rFonts w:ascii="Times New Roman" w:eastAsia="Aptos" w:hAnsi="Times New Roman" w:cs="Times New Roman"/>
        </w:rPr>
        <w:t>those fibers</w:t>
      </w:r>
      <w:r w:rsidRPr="00FF4F3A">
        <w:rPr>
          <w:rFonts w:ascii="Times New Roman" w:eastAsia="Aptos" w:hAnsi="Times New Roman" w:cs="Times New Roman"/>
        </w:rPr>
        <w:t xml:space="preserve"> such as β-glucan, psyllium, guar gum, and pectin can reduce postprandial glucose and insulin responses through mechanisms including slowed gastric emptying, delayed starch hydrolysis, reduced glucose diffusion, and modulation of incretin release. Viscosity appears to be a major determinant of these effects: high-viscosity β-glucan (≥3 g per serving) can reduce postprandial glucose area-under-the-curve (AUC) by 20%–30%, whereas lower viscosity fractions show weaker or negligible impact (Giuntini et al., 2022; Machalias et al., 2025). Similarly, consumption of psyllium at doses of 6.8–13.6 g/day over 12 weeks significantly reduced fasting glucose and HbA1c in individuals with type 2 diabetes, whereas lower or poorly hydrated doses produced limited benefit (Giuntini et al., 2022). Guar gum demonstrates dose-dependent glycemic reductions as well: incorporation of 5–7.8 g in bread reduced postprandial glucose by 8%–15%, whereas smaller doses showed no measurable effect (Giuntini et al., 2022). These quantitative relationships highlight the importance of fiber dose and physicochemical properties for functional product design.</w:t>
      </w:r>
    </w:p>
    <w:p w14:paraId="7DBDCB77"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Food structure also modulates fiber efficacy. Viscous fibers slow gastric emptying more effectively in semisolid or solid matrices than in beverages, where dilution and reduced gel formation lower functional impact (Gidley &amp; Yakubov, 2018; Machalias et al., 2025). Trials with β-glucan-enriched foods show that porridges and breads produce larger glycemic reductions than drinks containing the same fiber dose (Machalias et al., 2025). In addition, interactions between fiber and other macronutrients can amplify effects: for example, combining alginate with soy protein isolate reduced peak glucose concentration by 33%–53% compared with control beverages, illustrating how fiber–protein structural interactions can enhance gelation and glucose diffusion resistance (Giuntini et al., 2022). These matrix-dependent responses are essential considerations for GLP-1 product development, where texture, hydration, and viscosity must align with both physiological goals and consumer acceptability.</w:t>
      </w:r>
    </w:p>
    <w:p w14:paraId="75339C13"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Fermentable fibers such as inulin and resistant dextrins influence satiety and glycemic regulation through delayed but meaningful mechanisms involving short-chain fatty acid (SCFA) production. SCFAs stimulate GLP-1 and PYY secretion, improve insulin sensitivity, and modulate hepatic glucose output, though clinical findings remain mixed (Giuntini et al., 2022; Mao et al., 2025). </w:t>
      </w:r>
      <w:r w:rsidRPr="00FF4F3A">
        <w:rPr>
          <w:rFonts w:ascii="Times New Roman" w:eastAsia="Aptos" w:hAnsi="Times New Roman" w:cs="Times New Roman"/>
        </w:rPr>
        <w:lastRenderedPageBreak/>
        <w:t>Giuntini et al. (2022) report that inulin supplementation (e.g., 24 g/day) reduces energy intake and improves metabolic markers in some studies, but lower doses (e.g., 6 g) yield no significant effects. This dose-dependent pattern suggests that fermentation-derived satiety benefits may require sustained intake or incorporation into products where higher doses are technologically feasible without compromising sensory quality.</w:t>
      </w:r>
    </w:p>
    <w:p w14:paraId="57F76AE1"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Comparatively, insoluble fibers play a more modest role in acute appetite regulation but contribute to metabolic health by reducing energy density, increasing fecal bulk, and altering gut transit time. Whole-grain rye and barley-rich diets show favorable effects on satiety and energy intake, driven largely by their combined soluble–insoluble fiber matrices and slower digestive profiles (Clark &amp; Slavin, 2013; Machalias et al., 2025). Slavin’s broader work on cereal fibers emphasizes that intact grain structures delay carbohydrate availability and extend satiety, even when isolated fractions of the same fibers yield weaker responses (Clark &amp; Slavin, 2013). This reinforces that fiber-rich foods should be viewed not only by their chemical composition but also by their physical and structural properties—an especially important framework for GLP-1-tailored product innovation (Gidley &amp; Yakubov, 2018; Machalias et al., 2025).</w:t>
      </w:r>
    </w:p>
    <w:p w14:paraId="343BB3CC" w14:textId="0B9E6F31" w:rsidR="00FF4F3A" w:rsidRDefault="00FF4F3A" w:rsidP="00277B15">
      <w:pPr>
        <w:spacing w:after="0" w:line="240" w:lineRule="auto"/>
        <w:jc w:val="both"/>
        <w:rPr>
          <w:rFonts w:ascii="Times New Roman" w:eastAsia="Aptos" w:hAnsi="Times New Roman" w:cs="Times New Roman"/>
        </w:rPr>
      </w:pPr>
      <w:r w:rsidRPr="00FF4F3A">
        <w:rPr>
          <w:rFonts w:ascii="Times New Roman" w:eastAsia="Aptos" w:hAnsi="Times New Roman" w:cs="Times New Roman"/>
        </w:rPr>
        <w:t>Altogether, the evidence indicates that dietary fibers exert stronger and more reproducible effects on glycemic modulation than on short-term satiety, though certain viscous fibers reliably enhance fullness and reduce early postprandial hunger (Clark &amp; Slavin, 2013; Giuntini et al., 2022; Machalias et al., 2025; Wu et al., 2023). For GLP-1 users—whose appetite regulation, gastric emptying, and nutrient absorption are profoundly altered—these fiber properties present valuable opportunities. Products formulated with high-viscosity soluble fibers, optimized for matrix interactions, and delivered in effective doses can reinforce pharmacologically induced satiety signals, reduce glycemic variability, and potentially buffer against the appetite rebound experienced after discontinuing GLP-1 therapy (Giuntini et al., 2022; Mozaffarian et al., 2025; Wu et al., 2023). At the same time, clinical variability highlights the need for careful matching of fiber type, dose, and product format to targeted physiological outcomes, ensuring that functional food designs are grounded in mechanistic and evidence-based principles.</w:t>
      </w:r>
    </w:p>
    <w:p w14:paraId="581C55F5" w14:textId="77777777" w:rsidR="00277B15" w:rsidRPr="00FF4F3A" w:rsidRDefault="00277B15" w:rsidP="00277B15">
      <w:pPr>
        <w:spacing w:after="0" w:line="240" w:lineRule="auto"/>
        <w:jc w:val="both"/>
        <w:rPr>
          <w:rFonts w:ascii="Times New Roman" w:eastAsia="Aptos" w:hAnsi="Times New Roman" w:cs="Times New Roman"/>
        </w:rPr>
      </w:pPr>
    </w:p>
    <w:p w14:paraId="716D611D" w14:textId="77777777" w:rsidR="00FF4F3A" w:rsidRPr="00FF4F3A" w:rsidRDefault="00FF4F3A" w:rsidP="00277B15">
      <w:pPr>
        <w:numPr>
          <w:ilvl w:val="1"/>
          <w:numId w:val="4"/>
        </w:numPr>
        <w:spacing w:line="240" w:lineRule="auto"/>
        <w:contextualSpacing/>
        <w:jc w:val="both"/>
        <w:rPr>
          <w:rFonts w:ascii="Times New Roman" w:eastAsia="Aptos" w:hAnsi="Times New Roman" w:cs="Times New Roman"/>
          <w:b/>
          <w:bCs/>
        </w:rPr>
      </w:pPr>
      <w:r w:rsidRPr="00FF4F3A">
        <w:rPr>
          <w:rFonts w:ascii="Times New Roman" w:eastAsia="Aptos" w:hAnsi="Times New Roman" w:cs="Times New Roman"/>
          <w:b/>
          <w:bCs/>
        </w:rPr>
        <w:t>Dietary Energy Density for GLP-1–Friendly Food Design</w:t>
      </w:r>
    </w:p>
    <w:p w14:paraId="0C3384BB"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Dietary energy density—the amount of energy per gram of food—has emerged as one of the most powerful and consistently validated determinants of human energy intake and long-term weight regulation (Robinson et al., 2022; Rolls, 2017; Romieu et al., 2017). Energy density is primarily governed by a food’s macronutrient and water content: fat provides 9 kcal/g, carbohydrate and protein provide 4 kcal/g, while water contributes weight with no energy (Rolls, 2017). Because most individuals consume a relatively stable weight of food per day, even modest reductions in the average energy density of the diet can yield substantial caloric reductions. Rolls (2017) illustrates this principle quantitatively: if an adult habitually consumes ~1200 g of food per day with an average energy density of 1.8 kcal/g, this equates to ~2160 kcal; lowering the diet’s energy density by only 0.1 kcal/g would reduce intake by ~120 kcal/day even if food weight stayed constant. This core behavioral tendency—eating to a weight rather than to a caloric target—explains why low-energy-density foods reliably decrease total daily intake in both controlled laboratory studies and free-living conditions (Robinson et al., 2022; Rolls, 2017).</w:t>
      </w:r>
    </w:p>
    <w:p w14:paraId="2F77C2B1"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Meta-analytic evidence strengthens this conclusion. A systematic review of 31 experimental trials found that reducing the energy density of foods led to a large and linear decrease in daily energy intake (standardized mean difference = −1.002) with minimal caloric compensation at later meals </w:t>
      </w:r>
      <w:r w:rsidRPr="00FF4F3A">
        <w:rPr>
          <w:rFonts w:ascii="Times New Roman" w:eastAsia="Aptos" w:hAnsi="Times New Roman" w:cs="Times New Roman"/>
        </w:rPr>
        <w:lastRenderedPageBreak/>
        <w:t>(Robinson et al., 2022). Across 90 individual effects, participants eating lower-energy-density foods consistently consumed fewer daily calories, whether energy density was manipulated by altering fat percentage, adding water, incorporating vegetables, or substituting lower-energy ingredients (Robinson et al., 2022). Importantly, the relation was linear: larger reductions in kcal/g produced greater reductions in daily energy intake, with little evidence that participants compensated by eating more at subsequent eating occasions (Robinson et al., 2022). Even in studies where only part of the diet was manipulated, individuals reduced their self-selected intake by ~16% when served lower-energy-density main courses (Rolls, 2017). These findings demonstrate that energy density exerts effects on satiation (meal termination) and satiety (post-meal hunger suppression), often stronger than manipulations of macronutrient composition alone (Robinson et al., 2022; Rolls, 2017; Romieu et al., 2017).</w:t>
      </w:r>
    </w:p>
    <w:p w14:paraId="2074C217"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For GLP-1 users, these principles have direct relevance. During active treatment, GLP-1 receptor agonists suppress appetite, reduce hedonic drive to eat, and promote earlier satiation (Jones &amp; Brierley, 2025; Moiz et al., 2025). However, as section 2 of the manuscript reviews, discontinuation often leads to rebound hunger, increased reactivity to food cues, and physiological pressures toward weight regain (Kolli et al., 2025; Li et al., 2025). Low-energy-density foods offer a behavioral buffer against these post-treatment challenges. By allowing individuals to consume larger, more visually satisfying, and more voluminous portions for fewer calories, low-energy-density formulations can help counter the return of hunger and maintain satiety without imposing restrictive portion sizes (Robinson et al., 2022; Rolls, 2017). Rolls (2017) also highlights that incorporating water into foods—such as through fruits, vegetables, purees, soups, or blended dishes—reduces energy density more effectively than simply drinking water alongside meals, because embedded water increases gastric distension and slows gastric emptying, both of which enhance satiety.</w:t>
      </w:r>
    </w:p>
    <w:p w14:paraId="3A46B244"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From a product-development perspective, these insights translate into tangible design strategies for GLP-1–aligned foods and beverages. Calorie-reformulation trials indicate that energy density can be reduced through water-rich matrices, fiber additions, air incorporation, vegetable inclusions, and reductions in fat content without compromising palatability (Robinson et al., 2022; Rolls, 2017). For example, many low-energy-density foods fall below 1.75 kcal/g, a range where the body is poorly adapted to compensate by overeating elsewhere—even when appetite is intact (Robinson et al., 2022). This is particularly advantageous for individuals who experience increased hunger after discontinuing GLP-1 therapy: by designing products that remain satiating at lower energy loads, the food industry can support sustainable energy intake patterns during this vulnerable transition (Mozaffarian et al., 2025; Robinson et al., 2022). Moreover, low-energy-density formulations integrate seamlessly with other GLP-1–supportive design elements such as fiber-enhanced viscosity, high-water-content ingredients, strategic protein inclusion, and texture engineering aimed at prolonging oral processing time (Chambers et al., 2014; Clark &amp; Slavin, 2013; Stribiţcaia et al., 2020).</w:t>
      </w:r>
    </w:p>
    <w:p w14:paraId="4531A03D" w14:textId="77777777" w:rsidR="00FF4F3A" w:rsidRPr="00FF4F3A" w:rsidRDefault="00FF4F3A" w:rsidP="00277B15">
      <w:pPr>
        <w:spacing w:after="0" w:line="240" w:lineRule="auto"/>
        <w:jc w:val="both"/>
        <w:rPr>
          <w:rFonts w:ascii="Times New Roman" w:eastAsia="Aptos" w:hAnsi="Times New Roman" w:cs="Times New Roman"/>
        </w:rPr>
      </w:pPr>
      <w:r w:rsidRPr="00FF4F3A">
        <w:rPr>
          <w:rFonts w:ascii="Times New Roman" w:eastAsia="Aptos" w:hAnsi="Times New Roman" w:cs="Times New Roman"/>
        </w:rPr>
        <w:t>In sum, the dietary energy density literature provides one of the strongest conceptual and empirical foundations for developing GLP-1–friendly foods. By prioritizing water-rich, fiber-dense, low-fat, and high-volume formulations, product developers can create foods and beverages that maintain satiety, reduce total caloric intake, and help prevent post-treatment weight regain—addressing one of the central challenges identified in the weight-trajectory data for GLP-1 users (Kolli et al., 2025; Li et al., 2025; Robinson et al., 2022; Rolls, 2017).</w:t>
      </w:r>
    </w:p>
    <w:p w14:paraId="1BDD0D38" w14:textId="77777777" w:rsidR="00FF4F3A" w:rsidRPr="00FF4F3A" w:rsidRDefault="00FF4F3A" w:rsidP="00277B15">
      <w:pPr>
        <w:spacing w:after="0" w:line="240" w:lineRule="auto"/>
        <w:jc w:val="both"/>
        <w:rPr>
          <w:rFonts w:ascii="Times New Roman" w:eastAsia="Aptos" w:hAnsi="Times New Roman" w:cs="Times New Roman"/>
          <w:b/>
          <w:bCs/>
        </w:rPr>
      </w:pPr>
    </w:p>
    <w:p w14:paraId="0A50D4A5" w14:textId="77777777" w:rsidR="00FF4F3A" w:rsidRPr="00FF4F3A" w:rsidRDefault="00FF4F3A" w:rsidP="00277B15">
      <w:pPr>
        <w:numPr>
          <w:ilvl w:val="1"/>
          <w:numId w:val="4"/>
        </w:numPr>
        <w:spacing w:line="240" w:lineRule="auto"/>
        <w:contextualSpacing/>
        <w:jc w:val="both"/>
        <w:rPr>
          <w:rFonts w:ascii="Times New Roman" w:eastAsia="Aptos" w:hAnsi="Times New Roman" w:cs="Times New Roman"/>
          <w:b/>
          <w:bCs/>
        </w:rPr>
      </w:pPr>
      <w:r w:rsidRPr="00FF4F3A">
        <w:rPr>
          <w:rFonts w:ascii="Times New Roman" w:eastAsia="Aptos" w:hAnsi="Times New Roman" w:cs="Times New Roman"/>
          <w:b/>
          <w:bCs/>
        </w:rPr>
        <w:lastRenderedPageBreak/>
        <w:t>Designing Metabolically Supportive Dietary Patterns to Complement GLP-1 Therapy</w:t>
      </w:r>
    </w:p>
    <w:p w14:paraId="59FA735D"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As GLP-1 receptor agonists reshape appetite, food reward, and postprandial physiology, the dietary patterns chosen alongside these medications have the potential to either enhance or diminish therapeutic outcomes (Jones &amp; Brierley, 2025; Moiz et al., 2025; Mozaffarian et al., 2025). While GLP-1–specific dietary intervention studies remain limited, broader literature on whole-diet strategies for obesity treatment provides a strong conceptual foundation for understanding how dietary patterns can complement, stabilize, or extend the metabolic benefits produced by GLP-1 therapy. The “food as medicine” framework emphasizes that obesity management is most effective when dietary patterns, not isolated nutrients, are used to target the physiological drivers of weight gain—appetite dysregulation, impaired satiety, glycemic instability, systemic inflammation, and metabolic rigidity (Johnson et al., 2022). These insights are directly relevant to GLP-1 users, who often require structured dietary strategies to sustain weight loss, preserve lean mass, and mitigate the risk of post-medication weight regain (Johnson et al., 2022; Mozaffarian et al., 2025).</w:t>
      </w:r>
    </w:p>
    <w:p w14:paraId="7828A42D"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A central theme across the food-as-medicine literature is that effective dietary patterns share several unifying characteristics: low energy density, high nutrient density, abundant minimally processed plant foods, adequate high-quality protein, and reduced amounts of added sugars, refined starches, and saturated fats (Johnson et al., 2022; Mozaffarian et al., 2025). These patterns modulate both biological and behavioral drivers of obesity. The publication Food Beyond GLP-1 reinforces that GLP-1 analogues operate within a broader dietary–physiological ecosystem rather than in isolation; medications may suppress appetite, but optimal food environments are required to maintain weight loss, protect against metabolic slowdown, and sustain eating behaviors compatible with long-term health (García-Gorrita et al., 2025). The authors argue that dietary patterns that promote glycemic stability, fiber-mediated fermentation, and nutrient-dense eating are uniquely positioned to support GLP-1 users through both treatment and discontinuation phases (García-Gorrita et al., 2025; Johnson et al., 2022; Mozaffarian et al., 2025).</w:t>
      </w:r>
    </w:p>
    <w:p w14:paraId="4A2F5A0B"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Plant-forward dietary patterns—such as whole-food plant-based diets, Mediterranean-style diets, and high-fiber cardiometabolic diets—are repeatedly highlighted for their relevance to obesity treatment (Ivanova et al., 2021; Johnson et al., 2022; Mozaffarian et al., 2025). These diets reduce energy density through a high proportion of fruits, vegetables, legumes, and whole grains, while providing fermentable substrates that support gut microbiota–driven production of short-chain fatty acids (SCFAs). SCFAs such as acetate, propionate, and butyrate play multifaceted roles in metabolic health, improving insulin sensitivity, enhancing satiety signaling, and modulating inflammation (Mao et al., 2025). Although SCFA-specific data in GLP-1 users are not yet available, the mechanistic alignment is notable: GLP-1 therapy enhances endogenous satiety signaling and slows gastric emptying, while SCFA-producing diets reinforce these same pathways through colonic fermentation and enteroendocrine stimulation. Together, these may form a dual-mechanism approach to appetite regulation (Johnson et al., 2022; Mao et al., 2025; Mozaffarian et al., 2025).</w:t>
      </w:r>
    </w:p>
    <w:p w14:paraId="159E300A"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The review Functional Foods and Bioactive Compounds expands this framework by identifying specific classes of foods—berries, nuts, green tea, coffee polyphenols, and certain vegetables—that produce measurable improvements in weight-related biomarkers and metabolic responses linked to inflammation, lipid oxidation, glycemic control, and thermogenesis (Konstantinidi &amp; Koutelidakis, 2019). Human intervention studies summarized in this publication indicate that bioactive-rich foods can reduce body weight, lower fasting glucose, improve lipid profiles, reduce oxidative stress, and modulate adipokines (Konstantinidi &amp; Koutelidakis, 2019). For instance, </w:t>
      </w:r>
      <w:r w:rsidRPr="00FF4F3A">
        <w:rPr>
          <w:rFonts w:ascii="Times New Roman" w:eastAsia="Aptos" w:hAnsi="Times New Roman" w:cs="Times New Roman"/>
        </w:rPr>
        <w:lastRenderedPageBreak/>
        <w:t>green tea catechins at doses of 491 mg/day have been associated with significant weight reductions over 12 weeks, while berries contribute anti-inflammatory and glycemia-lowering effects in populations with metabolic syndrome (Konstantinidi &amp; Koutelidakis, 2019, pp. 5–12). These findings suggest a role for functional foods not as standalone obesity solutions, but as metabolically synergistic components of structured dietary patterns for GLP-1 users (Johnson et al., 2022; Konstantinidi &amp; Koutelidakis, 2019; Mozaffarian et al., 2025).</w:t>
      </w:r>
    </w:p>
    <w:p w14:paraId="70A5B384"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Within this broader context, dietary patterns rich in minimally processed plant foods offer several advantages particularly relevant to GLP-1 physiology. First, their high fiber content slows glucose absorption and extends satiety—effects that complement GLP-1–mediated gastric emptying delays (Clark &amp; Slavin, 2013; Giuntini et al., 2022; Johnson et al., 2022). Second, these foods support a microbial environment conducive to SCFA production, whose downstream metabolic benefits can help preserve insulin sensitivity during weight loss (Mao et al., 2025). Third, low energy density allows patients—especially those transitioning off medication—to consume satisfying volumes of food without exceeding caloric targets, reducing the psychological burden of appetite rebound (Robinson et al., 2022; Rolls, 2017). Finally, high micronutrient density counters the risk of inadequate nutrient intake that can occur when GLP-1 therapy reduces overall caloric consumption (Johnson et al., 2022; Mozaffarian et al., 2025).</w:t>
      </w:r>
    </w:p>
    <w:p w14:paraId="1FE4BE86"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The food-as-medicine framework also stresses the importance of treating dietary patterns as behavioral scaffolds rather than merely physiological tools. GLP-1 RAs may blunt appetite during treatment, but without sustainable eating habits, weight regain is likely once pharmacological cues diminish (García-Gorrita et al., 2025; Johnson et al., 2022; Mozaffarian et al., 2025). The publication Food Beyond GLP-1 explicitly notes that long-term weight regulation requires structured dietary environments that buffer against hedonic eating, minimize exposure to high-calorie ultraprocessed foods, and reinforce consistent consumption of satiating, nutrient-dense meals (García-Gorrita et al., 2025). This aligns with behavioral findings from dietary interventions showing that the success of Mediterranean, DASH, plant-forward, and anti-inflammatory diets is strongly linked to their palatability, accessibility, and alignment with culturally and psychologically sustainable eating practices (Ivanova et al., 2021; Johnson et al., 2022; Mozaffarian et al., 2025).</w:t>
      </w:r>
    </w:p>
    <w:p w14:paraId="256DDFFE"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Functional foods and bioactive compounds add precision to these patterns by offering targeted metabolic benefits that can be incorporated into GLP-1–friendly dietary frameworks. The evidence reviewed by Konstantinidi and Koutelidakis (2019) shows that components such as polyphenols, flavonoids, phenolic acids, hydrolysable tannins, and omega-rich oils can influence thermogenesis, lipolysis, glucose uptake, and oxidative stress—mechanisms highly relevant to GLP-1 users seeking to preserve metabolic flexibility as they reduce medication dosage or discontinue therapy. For example, berries improve antioxidant status and glycemic control; nuts contribute to better lipid profiles and weight stability despite their energy density; pomegranate extracts may influence fat metabolism; and green tea catechins may enhance thermogenesis (Konstantinidi &amp; Koutelidakis, 2019, pp. 6–14). These foods can be strategically incorporated into GLP-1–supportive dietary patterns to reinforce metabolic health (Johnson et al., 2022; Mozaffarian et al., 2025).</w:t>
      </w:r>
    </w:p>
    <w:p w14:paraId="0336C76D"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The literature consistently shows that metabolically supportive dietary patterns—particularly plant-rich, fiber-dense, nutrient-dense, and bioactive-rich diets—provide physiological and behavioral advantages that complement the mechanisms of GLP-1 therapy (Ivanova et al., 2021; </w:t>
      </w:r>
      <w:r w:rsidRPr="00FF4F3A">
        <w:rPr>
          <w:rFonts w:ascii="Times New Roman" w:eastAsia="Aptos" w:hAnsi="Times New Roman" w:cs="Times New Roman"/>
        </w:rPr>
        <w:lastRenderedPageBreak/>
        <w:t>Johnson et al., 2022; Konstantinidi &amp; Koutelidakis, 2019; Mozaffarian et al., 2025). These diets align with GLP-1–mediated improvements in satiety, glycemic regulation, and gut–brain signaling, and they offer a sustainable nutritional framework for mitigating post-treatment appetite resurgence and weight regain (Kolli et al., 2025; Li et al., 2025; Mozaffarian et al., 2025). While clinical trials combining specific dietary patterns with GLP-1 therapy are still limited, the converging evidence strongly supports integrating these dietary strategies into obesity care models (Johnson et al., 2022; Mozaffarian et al., 2025). For food developers, this implies opportunities to design GLP-1–aligned products that emulate the properties of these patterns—low energy density, high fiber, functional bioactives, structured protein delivery, and minimized refined carbohydrates—to support metabolic resilience in both active GLP-1 users and those transitioning to lifestyle-based weight maintenance.</w:t>
      </w:r>
    </w:p>
    <w:p w14:paraId="678D6441" w14:textId="77777777" w:rsidR="00FF4F3A" w:rsidRPr="00FF4F3A" w:rsidRDefault="00FF4F3A" w:rsidP="008948D3">
      <w:pPr>
        <w:spacing w:line="240" w:lineRule="auto"/>
        <w:jc w:val="both"/>
        <w:rPr>
          <w:rFonts w:ascii="Times New Roman" w:eastAsia="Aptos" w:hAnsi="Times New Roman" w:cs="Times New Roman"/>
          <w:b/>
          <w:bCs/>
        </w:rPr>
      </w:pPr>
    </w:p>
    <w:p w14:paraId="364C12A5" w14:textId="4961D681" w:rsidR="00FF4F3A" w:rsidRPr="00FF4F3A" w:rsidRDefault="00996E67" w:rsidP="00996E67">
      <w:pPr>
        <w:numPr>
          <w:ilvl w:val="0"/>
          <w:numId w:val="4"/>
        </w:numPr>
        <w:spacing w:before="240" w:after="0" w:line="240" w:lineRule="auto"/>
        <w:contextualSpacing/>
        <w:jc w:val="both"/>
        <w:rPr>
          <w:rFonts w:ascii="Times New Roman" w:eastAsia="Aptos" w:hAnsi="Times New Roman" w:cs="Times New Roman"/>
          <w:b/>
          <w:bCs/>
        </w:rPr>
      </w:pPr>
      <w:r w:rsidRPr="00FF4F3A">
        <w:rPr>
          <w:rFonts w:ascii="Times New Roman" w:eastAsia="Aptos" w:hAnsi="Times New Roman" w:cs="Times New Roman"/>
          <w:b/>
          <w:bCs/>
        </w:rPr>
        <w:t>TAILORING FOOD FORMULATION STRATEGIES TO THE GLP-1 TREATMENT AND POST-TREATMENT PHASES</w:t>
      </w:r>
    </w:p>
    <w:p w14:paraId="1F74062E" w14:textId="77777777" w:rsidR="00FF4F3A" w:rsidRPr="00FF4F3A" w:rsidRDefault="00FF4F3A" w:rsidP="00996E67">
      <w:pPr>
        <w:spacing w:before="240" w:line="240" w:lineRule="auto"/>
        <w:jc w:val="both"/>
        <w:rPr>
          <w:rFonts w:ascii="Times New Roman" w:eastAsia="Aptos" w:hAnsi="Times New Roman" w:cs="Times New Roman"/>
        </w:rPr>
      </w:pPr>
      <w:r w:rsidRPr="00FF4F3A">
        <w:rPr>
          <w:rFonts w:ascii="Times New Roman" w:eastAsia="Aptos" w:hAnsi="Times New Roman" w:cs="Times New Roman"/>
        </w:rPr>
        <w:t>Translating the above evidence into practical food formulation strategies for GLP-1 users involves aligning product attributes with the physiological and behavioral realities of both active treatment and the post-treatment period. During active GLP-1 therapy, many patients experience reduced appetite, early satiety, and sometimes gastrointestinal side effects such as nausea (Ockerman et al., 2024; Wilbon &amp; Kolonin, 2023). In this phase, products that are nutrient-dense but not overly large in volume, with moderate energy density and gentle textures, may be most appropriate. High-quality protein beverages or soft foods that deliver sufficient protein and micronutrients in relatively small portions can help ensure nutritional adequacy despite reduced intake (Chambers et al., 2014; Guarneiri et al., 2025; Miller et al., 2021; Wu et al., 2023). The randomized cross-over fiber trial in healthy adults by Wu et al. (2023) demonstrates how adding a well-tolerated, satiating fiber to such vehicles can enhance satiety and moderate glycemic responses without excessively increasing volume. Complementing this, insights from the fiber and cardiometabolic health narrative review suggest that blending different fiber types and carefully managing dose can maximize benefits while minimizing gastrointestinal discomfort (Giuntini et al., 2022; Guarneiri et al., 2025).</w:t>
      </w:r>
    </w:p>
    <w:p w14:paraId="411DDC11" w14:textId="77777777" w:rsidR="00FF4F3A" w:rsidRPr="00FF4F3A" w:rsidRDefault="00FF4F3A" w:rsidP="00996E67">
      <w:pPr>
        <w:spacing w:line="240" w:lineRule="auto"/>
        <w:jc w:val="both"/>
        <w:rPr>
          <w:rFonts w:ascii="Times New Roman" w:eastAsia="Aptos" w:hAnsi="Times New Roman" w:cs="Times New Roman"/>
        </w:rPr>
      </w:pPr>
      <w:r w:rsidRPr="00FF4F3A">
        <w:rPr>
          <w:rFonts w:ascii="Times New Roman" w:eastAsia="Aptos" w:hAnsi="Times New Roman" w:cs="Times New Roman"/>
        </w:rPr>
        <w:t>As patients transition off GLP-1 therapy and appetite begins to rebound, the formulation focus may need to shift toward managing larger volumes of food and more frequent eating impulses while preserving energy deficits or neutral energy balance (Kolli et al., 2025; Li et al., 2025; Mozaffarian et al., 2025). Here, low-energy-density products become more central. Soups, stews, porridges, and other water-rich dishes that incorporate vegetables, legumes, and lean proteins can permit satisfying portion sizes with relatively few calories (Robinson et al., 2022; Rolls, 2017). Texture engineering can further reinforce these benefits by slowing eating rate and enhancing chew-related satiety signals. For example, crunchy snack clusters or dense, chewy bars formulated with protein and fiber can extend oral processing time, promote fullness, and reduce the rate at which calories are ingested (Chambers et al., 2014; Stribiţcaia et al., 2020).</w:t>
      </w:r>
    </w:p>
    <w:p w14:paraId="31904B59"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 xml:space="preserve">Portion control remains a critical design feature across both phases. Evidence from partial meal replacement and structured diet trials indicates that when energy content per unit or package is clearly defined and relatively low, and when individuals are supported to adhere to portion guidelines, overall intake can be moderated more reliably than when consumers must self-portion </w:t>
      </w:r>
      <w:r w:rsidRPr="00FF4F3A">
        <w:rPr>
          <w:rFonts w:ascii="Times New Roman" w:eastAsia="Aptos" w:hAnsi="Times New Roman" w:cs="Times New Roman"/>
        </w:rPr>
        <w:lastRenderedPageBreak/>
        <w:t>from large packages (Muirhead et al., 2021; Johnson et al., 2022; Mozaffarian et al., 2025). For GLP-1 users leaving pharmacotherapy, single-serve units of high-protein, high-fiber snacks, calorie-capped frozen meals, and measured breakfast products (e.g., porridges or shakes) can help impose external constraints that partially substitute for the pharmacological restraint that GLP-1 RA previously provided (Muirhead et al., 2021; Mozaffarian et al., 2025).</w:t>
      </w:r>
    </w:p>
    <w:p w14:paraId="07A760A4" w14:textId="77777777" w:rsidR="00FF4F3A" w:rsidRP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Within these broad categories, there is ample scope for innovation in ingredient and process technologies. Protein systems can be tailored to desired digestion profiles: whey-dominant blends for more rapid amino acid availability and casein-rich or mixed systems for prolonged satiety (Anjom-Shoae et al., 2024; Chambers et al., 2014; Morell &amp; Fiszman, 2016; Watson et al., 2025). Plant proteins can be incorporated to meet sustainability goals and consumer preferences, with attention to flavor masking, texture, and digestibility (Ivanova et al., 2021; Watson et al., 2025). Fiber systems can be customized by combining viscous soluble fibers (e.g., β-glucan, glucomannan) with nonviscous bulking fibers and resistant starches, adjusting ratios to achieve targeted viscosity, fermentability, and glycemic effects while respecting tolerance limits identified in clinical trials (Clark &amp; Slavin, 2013; Giuntini et al., 2022; Machalias et al., 2025). Hydrocolloids can assist in modulating viscosity and structural stability, particularly in beverages and semi-solid foods, but must be used judiciously to avoid undesirable mouthfeel or gastrointestinal effects (Gidley &amp; Yakubov, 2018; Stribiţcaia et al., 2020).</w:t>
      </w:r>
    </w:p>
    <w:p w14:paraId="7CBC001F" w14:textId="738DD9B9" w:rsidR="00FF4F3A" w:rsidRDefault="00FF4F3A" w:rsidP="008948D3">
      <w:pPr>
        <w:spacing w:line="240" w:lineRule="auto"/>
        <w:jc w:val="both"/>
        <w:rPr>
          <w:rFonts w:ascii="Times New Roman" w:eastAsia="Aptos" w:hAnsi="Times New Roman" w:cs="Times New Roman"/>
        </w:rPr>
      </w:pPr>
      <w:r w:rsidRPr="00FF4F3A">
        <w:rPr>
          <w:rFonts w:ascii="Times New Roman" w:eastAsia="Aptos" w:hAnsi="Times New Roman" w:cs="Times New Roman"/>
        </w:rPr>
        <w:t>Carbohydrate quality and glycemic impact should also be considered explicitly. Drawing on resistant starch and pulse flour research, formulators can replace portions of rapidly digestible starch with slowly digestible or resistant forms to reduce glycemic load and support more stable energy availability (Giuntini et al., 2022; Johnson et al., 2022; Mozaffarian et al., 2025). This can be particularly useful in breakfast cereals, baked goods, and snacks where carbohydrate is a major contributor to energy. For GLP-1 users, whose glycemic excursions are pharmacologically moderated during treatment but may become more pronounced after discontinuation, such products could help attenuate postprandial spikes that might otherwise trigger hunger and cravings (Moiz et al., 2025; Purcell et al., 2025).</w:t>
      </w:r>
    </w:p>
    <w:p w14:paraId="23E68E09" w14:textId="77777777" w:rsidR="00996E67" w:rsidRPr="00FF4F3A" w:rsidRDefault="00996E67" w:rsidP="008948D3">
      <w:pPr>
        <w:spacing w:line="240" w:lineRule="auto"/>
        <w:jc w:val="both"/>
        <w:rPr>
          <w:rFonts w:ascii="Times New Roman" w:eastAsia="Aptos" w:hAnsi="Times New Roman" w:cs="Times New Roman"/>
        </w:rPr>
      </w:pPr>
    </w:p>
    <w:p w14:paraId="535D9009" w14:textId="51886004" w:rsidR="00FF4F3A" w:rsidRPr="00FF4F3A" w:rsidRDefault="00996E67" w:rsidP="00996E67">
      <w:pPr>
        <w:numPr>
          <w:ilvl w:val="0"/>
          <w:numId w:val="4"/>
        </w:numPr>
        <w:spacing w:before="240" w:after="0" w:line="240" w:lineRule="auto"/>
        <w:contextualSpacing/>
        <w:jc w:val="both"/>
        <w:rPr>
          <w:rFonts w:ascii="Times New Roman" w:eastAsia="Aptos" w:hAnsi="Times New Roman" w:cs="Times New Roman"/>
          <w:b/>
          <w:bCs/>
        </w:rPr>
      </w:pPr>
      <w:r w:rsidRPr="00FF4F3A">
        <w:rPr>
          <w:rFonts w:ascii="Times New Roman" w:eastAsia="Aptos" w:hAnsi="Times New Roman" w:cs="Times New Roman"/>
          <w:b/>
          <w:bCs/>
        </w:rPr>
        <w:t>CONCLUSIONS</w:t>
      </w:r>
    </w:p>
    <w:p w14:paraId="476B7CF7" w14:textId="77777777" w:rsidR="00FF4F3A" w:rsidRPr="00FF4F3A" w:rsidRDefault="00FF4F3A" w:rsidP="00996E67">
      <w:pPr>
        <w:spacing w:before="240" w:after="0" w:line="240" w:lineRule="auto"/>
        <w:jc w:val="both"/>
        <w:rPr>
          <w:rFonts w:ascii="Times New Roman" w:eastAsia="Aptos" w:hAnsi="Times New Roman" w:cs="Times New Roman"/>
        </w:rPr>
      </w:pPr>
      <w:r w:rsidRPr="00FF4F3A">
        <w:rPr>
          <w:rFonts w:ascii="Times New Roman" w:eastAsia="Aptos" w:hAnsi="Times New Roman" w:cs="Times New Roman"/>
        </w:rPr>
        <w:t>The evidence reviewed in this paper suggests that GLP-1 receptor agonists create a distinct nutritional landscape in which appetite regulation, gastric emptying, food choice, and weight trajectories differ meaningfully from those of the general population. By integrating insights from protein and fiber science, dietary energy density, functional foods, and whole-diet “food as medicine” frameworks, we outline formulation strategies that could help sustain satiety, glycemic stability, and weight maintenance during and after GLP-1 therapy. These proposals remain largely extrapolated from broader obesity and satiety research, underscoring the urgent need for ingredient-specific and product-level trials in GLP-1 users and former users. Future progress will depend on close collaboration between clinicians, nutrition scientists, and product developers to generate this evidence and translate it into palatable, affordable, and scalable foods. As GLP-1–based pharmacotherapy continues to expand, such innovation will be essential to transforming short-term drug-induced weight loss into durable, nutrition-supported metabolic health.</w:t>
      </w:r>
    </w:p>
    <w:p w14:paraId="01A5E574" w14:textId="77777777" w:rsidR="00FF4F3A" w:rsidRPr="00FF4F3A" w:rsidRDefault="00FF4F3A" w:rsidP="008948D3">
      <w:pPr>
        <w:spacing w:line="240" w:lineRule="auto"/>
        <w:jc w:val="both"/>
        <w:rPr>
          <w:rFonts w:ascii="Times New Roman" w:eastAsia="Aptos" w:hAnsi="Times New Roman" w:cs="Times New Roman"/>
        </w:rPr>
      </w:pPr>
    </w:p>
    <w:p w14:paraId="5ACE1E08" w14:textId="77777777" w:rsidR="00FF4F3A" w:rsidRPr="00FF4F3A" w:rsidRDefault="00FF4F3A" w:rsidP="008948D3">
      <w:pPr>
        <w:spacing w:line="240" w:lineRule="auto"/>
        <w:jc w:val="both"/>
        <w:rPr>
          <w:rFonts w:ascii="Times New Roman" w:eastAsia="Aptos" w:hAnsi="Times New Roman" w:cs="Times New Roman"/>
        </w:rPr>
      </w:pPr>
    </w:p>
    <w:p w14:paraId="3062F512" w14:textId="57C67289" w:rsidR="00FF4F3A" w:rsidRPr="00FF4F3A" w:rsidRDefault="00996E67" w:rsidP="008948D3">
      <w:pPr>
        <w:spacing w:line="240" w:lineRule="auto"/>
        <w:jc w:val="both"/>
        <w:rPr>
          <w:rFonts w:ascii="Times New Roman" w:eastAsia="Aptos" w:hAnsi="Times New Roman" w:cs="Times New Roman"/>
          <w:b/>
          <w:bCs/>
          <w:sz w:val="20"/>
          <w:szCs w:val="20"/>
        </w:rPr>
      </w:pPr>
      <w:r w:rsidRPr="00996E67">
        <w:rPr>
          <w:rFonts w:ascii="Times New Roman" w:eastAsia="Aptos" w:hAnsi="Times New Roman" w:cs="Times New Roman"/>
          <w:b/>
          <w:bCs/>
          <w:sz w:val="20"/>
          <w:szCs w:val="20"/>
        </w:rPr>
        <w:lastRenderedPageBreak/>
        <w:t>REFERENCES</w:t>
      </w:r>
    </w:p>
    <w:p w14:paraId="5F60770C"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Anjom-Shoae, J., Feinle-Bisset, C., &amp; Horowitz, M.</w:t>
      </w:r>
      <w:r w:rsidRPr="00996E67">
        <w:rPr>
          <w:rFonts w:ascii="Times New Roman" w:hAnsi="Times New Roman" w:cs="Times New Roman"/>
          <w:sz w:val="20"/>
          <w:szCs w:val="20"/>
        </w:rPr>
        <w:t xml:space="preserve"> (2024). Impacts of dietary animal and plant protein on weight and glycemic control in health, obesity and type 2 diabetes: Friend or foe? </w:t>
      </w:r>
      <w:r w:rsidRPr="00996E67">
        <w:rPr>
          <w:rFonts w:ascii="Times New Roman" w:hAnsi="Times New Roman" w:cs="Times New Roman"/>
          <w:i/>
          <w:iCs/>
          <w:sz w:val="20"/>
          <w:szCs w:val="20"/>
        </w:rPr>
        <w:t>Frontiers in Endocrinology, 15</w:t>
      </w:r>
      <w:r w:rsidRPr="00996E67">
        <w:rPr>
          <w:rFonts w:ascii="Times New Roman" w:hAnsi="Times New Roman" w:cs="Times New Roman"/>
          <w:sz w:val="20"/>
          <w:szCs w:val="20"/>
        </w:rPr>
        <w:t xml:space="preserve">, 1412182. </w:t>
      </w:r>
      <w:hyperlink r:id="rId11" w:tgtFrame="_new" w:history="1">
        <w:r w:rsidRPr="00996E67">
          <w:rPr>
            <w:rFonts w:ascii="Times New Roman" w:hAnsi="Times New Roman" w:cs="Times New Roman"/>
            <w:color w:val="0000FF"/>
            <w:sz w:val="20"/>
            <w:szCs w:val="20"/>
            <w:u w:val="single"/>
          </w:rPr>
          <w:t>https://doi.org/10.3389/fendo.2024.1412182</w:t>
        </w:r>
      </w:hyperlink>
    </w:p>
    <w:p w14:paraId="12C3FA74"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Bassaganya-Riera, J., Berry, E. M., Blaak, E. E., Burlingame, B., Coutre, J. L., Van Eden, W., El-Sohemy, A., German, J. B., Knorr, D., Lacroix, C., Muscaritoli, M., Nieman, D. C., Rychlik, M., Scholey, A., &amp; Serafini, M.</w:t>
      </w:r>
      <w:r w:rsidRPr="00996E67">
        <w:rPr>
          <w:rFonts w:ascii="Times New Roman" w:hAnsi="Times New Roman" w:cs="Times New Roman"/>
          <w:sz w:val="20"/>
          <w:szCs w:val="20"/>
        </w:rPr>
        <w:t xml:space="preserve"> (2021). Goals in Nutrition Science 2020–2025. </w:t>
      </w:r>
      <w:r w:rsidRPr="00996E67">
        <w:rPr>
          <w:rFonts w:ascii="Times New Roman" w:hAnsi="Times New Roman" w:cs="Times New Roman"/>
          <w:i/>
          <w:iCs/>
          <w:sz w:val="20"/>
          <w:szCs w:val="20"/>
        </w:rPr>
        <w:t>Frontiers in Nutrition, 7</w:t>
      </w:r>
      <w:r w:rsidRPr="00996E67">
        <w:rPr>
          <w:rFonts w:ascii="Times New Roman" w:hAnsi="Times New Roman" w:cs="Times New Roman"/>
          <w:sz w:val="20"/>
          <w:szCs w:val="20"/>
        </w:rPr>
        <w:t xml:space="preserve">, 606378. </w:t>
      </w:r>
      <w:hyperlink r:id="rId12" w:tgtFrame="_new" w:history="1">
        <w:r w:rsidRPr="00996E67">
          <w:rPr>
            <w:rFonts w:ascii="Times New Roman" w:hAnsi="Times New Roman" w:cs="Times New Roman"/>
            <w:color w:val="0000FF"/>
            <w:sz w:val="20"/>
            <w:szCs w:val="20"/>
            <w:u w:val="single"/>
          </w:rPr>
          <w:t>https://doi.org/10.3389/fnut.2020.606378</w:t>
        </w:r>
      </w:hyperlink>
    </w:p>
    <w:p w14:paraId="036BE79F"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Burra, P., Verduci, E., Dias, J. A., Buti, M., Carboni, A., Demirtas, C. O., Fracasso, P., Hartman, D., Laghi, A., Michl, P., &amp; Zelber-Sagi, S.</w:t>
      </w:r>
      <w:r w:rsidRPr="00996E67">
        <w:rPr>
          <w:rFonts w:ascii="Times New Roman" w:hAnsi="Times New Roman" w:cs="Times New Roman"/>
          <w:sz w:val="20"/>
          <w:szCs w:val="20"/>
        </w:rPr>
        <w:t xml:space="preserve"> (2025). The growing burden of obesity: Addressing a global public health challenge. </w:t>
      </w:r>
      <w:r w:rsidRPr="00996E67">
        <w:rPr>
          <w:rFonts w:ascii="Times New Roman" w:hAnsi="Times New Roman" w:cs="Times New Roman"/>
          <w:i/>
          <w:iCs/>
          <w:sz w:val="20"/>
          <w:szCs w:val="20"/>
        </w:rPr>
        <w:t>United European Gastroenterology Journal, 13</w:t>
      </w:r>
      <w:r w:rsidRPr="00996E67">
        <w:rPr>
          <w:rFonts w:ascii="Times New Roman" w:hAnsi="Times New Roman" w:cs="Times New Roman"/>
          <w:sz w:val="20"/>
          <w:szCs w:val="20"/>
        </w:rPr>
        <w:t xml:space="preserve">(7), 1343–1347. </w:t>
      </w:r>
      <w:hyperlink r:id="rId13" w:tgtFrame="_new" w:history="1">
        <w:r w:rsidRPr="00996E67">
          <w:rPr>
            <w:rFonts w:ascii="Times New Roman" w:hAnsi="Times New Roman" w:cs="Times New Roman"/>
            <w:color w:val="0000FF"/>
            <w:sz w:val="20"/>
            <w:szCs w:val="20"/>
            <w:u w:val="single"/>
          </w:rPr>
          <w:t>https://doi.org/10.1002/ueg2.70020</w:t>
        </w:r>
      </w:hyperlink>
    </w:p>
    <w:p w14:paraId="5DA16A12"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Chambers, L., McCrickerd, K., &amp; Yeomans, M. R.</w:t>
      </w:r>
      <w:r w:rsidRPr="00996E67">
        <w:rPr>
          <w:rFonts w:ascii="Times New Roman" w:hAnsi="Times New Roman" w:cs="Times New Roman"/>
          <w:sz w:val="20"/>
          <w:szCs w:val="20"/>
        </w:rPr>
        <w:t xml:space="preserve"> (2014). Optimising foods for satiety. </w:t>
      </w:r>
      <w:r w:rsidRPr="00996E67">
        <w:rPr>
          <w:rFonts w:ascii="Times New Roman" w:hAnsi="Times New Roman" w:cs="Times New Roman"/>
          <w:i/>
          <w:iCs/>
          <w:sz w:val="20"/>
          <w:szCs w:val="20"/>
        </w:rPr>
        <w:t>Trends in Food Science &amp; Technology, 41</w:t>
      </w:r>
      <w:r w:rsidRPr="00996E67">
        <w:rPr>
          <w:rFonts w:ascii="Times New Roman" w:hAnsi="Times New Roman" w:cs="Times New Roman"/>
          <w:sz w:val="20"/>
          <w:szCs w:val="20"/>
        </w:rPr>
        <w:t xml:space="preserve">(2), 149–160. </w:t>
      </w:r>
      <w:hyperlink r:id="rId14" w:tgtFrame="_new" w:history="1">
        <w:r w:rsidRPr="00996E67">
          <w:rPr>
            <w:rFonts w:ascii="Times New Roman" w:hAnsi="Times New Roman" w:cs="Times New Roman"/>
            <w:color w:val="0000FF"/>
            <w:sz w:val="20"/>
            <w:szCs w:val="20"/>
            <w:u w:val="single"/>
          </w:rPr>
          <w:t>https://doi.org/10.1016/j.tifs.2014.10.007</w:t>
        </w:r>
      </w:hyperlink>
    </w:p>
    <w:p w14:paraId="146F0DEE"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Cheney, C., Hunter, K., &amp; Klein, M.</w:t>
      </w:r>
      <w:r w:rsidRPr="00996E67">
        <w:rPr>
          <w:rFonts w:ascii="Times New Roman" w:hAnsi="Times New Roman" w:cs="Times New Roman"/>
          <w:sz w:val="20"/>
          <w:szCs w:val="20"/>
        </w:rPr>
        <w:t xml:space="preserve"> (2025). Impact of GLP-1 receptor agonists on perceived eating behaviors in response to stimuli. </w:t>
      </w:r>
      <w:r w:rsidRPr="00996E67">
        <w:rPr>
          <w:rFonts w:ascii="Times New Roman" w:hAnsi="Times New Roman" w:cs="Times New Roman"/>
          <w:i/>
          <w:iCs/>
          <w:sz w:val="20"/>
          <w:szCs w:val="20"/>
        </w:rPr>
        <w:t>Diabetes Metabolic Syndrome and Obesity, 18</w:t>
      </w:r>
      <w:r w:rsidRPr="00996E67">
        <w:rPr>
          <w:rFonts w:ascii="Times New Roman" w:hAnsi="Times New Roman" w:cs="Times New Roman"/>
          <w:sz w:val="20"/>
          <w:szCs w:val="20"/>
        </w:rPr>
        <w:t xml:space="preserve">, 1411–1418. </w:t>
      </w:r>
      <w:hyperlink r:id="rId15" w:tgtFrame="_new" w:history="1">
        <w:r w:rsidRPr="00996E67">
          <w:rPr>
            <w:rFonts w:ascii="Times New Roman" w:hAnsi="Times New Roman" w:cs="Times New Roman"/>
            <w:color w:val="0000FF"/>
            <w:sz w:val="20"/>
            <w:szCs w:val="20"/>
            <w:u w:val="single"/>
          </w:rPr>
          <w:t>https://doi.org/10.2147/dmso.s488806</w:t>
        </w:r>
      </w:hyperlink>
    </w:p>
    <w:p w14:paraId="037631B1"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Christensen, S., Robinson, K., Thomas, S., &amp; Williams, D. R.</w:t>
      </w:r>
      <w:r w:rsidRPr="00996E67">
        <w:rPr>
          <w:rFonts w:ascii="Times New Roman" w:hAnsi="Times New Roman" w:cs="Times New Roman"/>
          <w:sz w:val="20"/>
          <w:szCs w:val="20"/>
        </w:rPr>
        <w:t xml:space="preserve"> (2024). Dietary intake by patients taking GLP-1 and dual GIP/GLP-1 receptor agonists: A narrative review and discussion of research needs. </w:t>
      </w:r>
      <w:r w:rsidRPr="00996E67">
        <w:rPr>
          <w:rFonts w:ascii="Times New Roman" w:hAnsi="Times New Roman" w:cs="Times New Roman"/>
          <w:i/>
          <w:iCs/>
          <w:sz w:val="20"/>
          <w:szCs w:val="20"/>
        </w:rPr>
        <w:t>Obesity Pillars, 11</w:t>
      </w:r>
      <w:r w:rsidRPr="00996E67">
        <w:rPr>
          <w:rFonts w:ascii="Times New Roman" w:hAnsi="Times New Roman" w:cs="Times New Roman"/>
          <w:sz w:val="20"/>
          <w:szCs w:val="20"/>
        </w:rPr>
        <w:t xml:space="preserve">, 100121. </w:t>
      </w:r>
      <w:hyperlink r:id="rId16" w:tgtFrame="_new" w:history="1">
        <w:r w:rsidRPr="00996E67">
          <w:rPr>
            <w:rFonts w:ascii="Times New Roman" w:hAnsi="Times New Roman" w:cs="Times New Roman"/>
            <w:color w:val="0000FF"/>
            <w:sz w:val="20"/>
            <w:szCs w:val="20"/>
            <w:u w:val="single"/>
          </w:rPr>
          <w:t>https://doi.org/10.1016/j.obpill.2024.100121</w:t>
        </w:r>
      </w:hyperlink>
    </w:p>
    <w:p w14:paraId="685CF8B0"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Clark, M. J., &amp; Slavin, J. L.</w:t>
      </w:r>
      <w:r w:rsidRPr="00996E67">
        <w:rPr>
          <w:rFonts w:ascii="Times New Roman" w:hAnsi="Times New Roman" w:cs="Times New Roman"/>
          <w:sz w:val="20"/>
          <w:szCs w:val="20"/>
        </w:rPr>
        <w:t xml:space="preserve"> (2013). The effect of fiber on satiety and food intake: A systematic review. </w:t>
      </w:r>
      <w:r w:rsidRPr="00996E67">
        <w:rPr>
          <w:rFonts w:ascii="Times New Roman" w:hAnsi="Times New Roman" w:cs="Times New Roman"/>
          <w:i/>
          <w:iCs/>
          <w:sz w:val="20"/>
          <w:szCs w:val="20"/>
        </w:rPr>
        <w:t>Journal of the American College of Nutrition, 32</w:t>
      </w:r>
      <w:r w:rsidRPr="00996E67">
        <w:rPr>
          <w:rFonts w:ascii="Times New Roman" w:hAnsi="Times New Roman" w:cs="Times New Roman"/>
          <w:sz w:val="20"/>
          <w:szCs w:val="20"/>
        </w:rPr>
        <w:t xml:space="preserve">(3), 200–211. </w:t>
      </w:r>
      <w:hyperlink r:id="rId17" w:tgtFrame="_new" w:history="1">
        <w:r w:rsidRPr="00996E67">
          <w:rPr>
            <w:rFonts w:ascii="Times New Roman" w:hAnsi="Times New Roman" w:cs="Times New Roman"/>
            <w:color w:val="0000FF"/>
            <w:sz w:val="20"/>
            <w:szCs w:val="20"/>
            <w:u w:val="single"/>
          </w:rPr>
          <w:t>https://doi.org/10.1080/07315724.2013.791194</w:t>
        </w:r>
      </w:hyperlink>
    </w:p>
    <w:p w14:paraId="51BD6A47"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fr-FR"/>
        </w:rPr>
        <w:t>Ezendu, K., Pohl, G., Lee, C. J., Wang, H., Li, X., &amp; Dunn, J. P.</w:t>
      </w:r>
      <w:r w:rsidRPr="00996E67">
        <w:rPr>
          <w:rFonts w:ascii="Times New Roman" w:hAnsi="Times New Roman" w:cs="Times New Roman"/>
          <w:sz w:val="20"/>
          <w:szCs w:val="20"/>
          <w:lang w:val="fr-FR"/>
        </w:rPr>
        <w:t xml:space="preserve"> (2025). </w:t>
      </w:r>
      <w:r w:rsidRPr="00996E67">
        <w:rPr>
          <w:rFonts w:ascii="Times New Roman" w:hAnsi="Times New Roman" w:cs="Times New Roman"/>
          <w:sz w:val="20"/>
          <w:szCs w:val="20"/>
        </w:rPr>
        <w:t xml:space="preserve">Prevalence of obesity-related multimorbidity and its health care costs among adults in the United States. </w:t>
      </w:r>
      <w:r w:rsidRPr="00996E67">
        <w:rPr>
          <w:rFonts w:ascii="Times New Roman" w:hAnsi="Times New Roman" w:cs="Times New Roman"/>
          <w:i/>
          <w:iCs/>
          <w:sz w:val="20"/>
          <w:szCs w:val="20"/>
        </w:rPr>
        <w:t>Journal of Managed Care &amp; Specialty Pharmacy, 31</w:t>
      </w:r>
      <w:r w:rsidRPr="00996E67">
        <w:rPr>
          <w:rFonts w:ascii="Times New Roman" w:hAnsi="Times New Roman" w:cs="Times New Roman"/>
          <w:sz w:val="20"/>
          <w:szCs w:val="20"/>
        </w:rPr>
        <w:t xml:space="preserve">(2), 179–188. </w:t>
      </w:r>
      <w:hyperlink r:id="rId18" w:tgtFrame="_new" w:history="1">
        <w:r w:rsidRPr="00996E67">
          <w:rPr>
            <w:rFonts w:ascii="Times New Roman" w:hAnsi="Times New Roman" w:cs="Times New Roman"/>
            <w:color w:val="0000FF"/>
            <w:sz w:val="20"/>
            <w:szCs w:val="20"/>
            <w:u w:val="single"/>
          </w:rPr>
          <w:t>https://doi.org/10.18553/jmcp.2025.31.2.179</w:t>
        </w:r>
      </w:hyperlink>
    </w:p>
    <w:p w14:paraId="6AA306AC"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García-Gorrita, C., Onofre, N. S., Merino-Torres, J. F., &amp; Soriano, J. M.</w:t>
      </w:r>
      <w:r w:rsidRPr="00996E67">
        <w:rPr>
          <w:rFonts w:ascii="Times New Roman" w:hAnsi="Times New Roman" w:cs="Times New Roman"/>
          <w:sz w:val="20"/>
          <w:szCs w:val="20"/>
        </w:rPr>
        <w:t xml:space="preserve"> (2025). Beyond GLP-1 agonists: An adaptive ketogenic–Mediterranean protocol to counter metabolic adaptation in obesity management. </w:t>
      </w:r>
      <w:r w:rsidRPr="00996E67">
        <w:rPr>
          <w:rFonts w:ascii="Times New Roman" w:hAnsi="Times New Roman" w:cs="Times New Roman"/>
          <w:i/>
          <w:iCs/>
          <w:sz w:val="20"/>
          <w:szCs w:val="20"/>
        </w:rPr>
        <w:t>Nutrients, 17</w:t>
      </w:r>
      <w:r w:rsidRPr="00996E67">
        <w:rPr>
          <w:rFonts w:ascii="Times New Roman" w:hAnsi="Times New Roman" w:cs="Times New Roman"/>
          <w:sz w:val="20"/>
          <w:szCs w:val="20"/>
        </w:rPr>
        <w:t xml:space="preserve">(16), 2699. </w:t>
      </w:r>
      <w:hyperlink r:id="rId19" w:tgtFrame="_new" w:history="1">
        <w:r w:rsidRPr="00996E67">
          <w:rPr>
            <w:rFonts w:ascii="Times New Roman" w:hAnsi="Times New Roman" w:cs="Times New Roman"/>
            <w:color w:val="0000FF"/>
            <w:sz w:val="20"/>
            <w:szCs w:val="20"/>
            <w:u w:val="single"/>
          </w:rPr>
          <w:t>https://doi.org/10.3390/nu17162699</w:t>
        </w:r>
      </w:hyperlink>
    </w:p>
    <w:p w14:paraId="0B43EF5F"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Gidley, M. J., &amp; Yakubov, G. E.</w:t>
      </w:r>
      <w:r w:rsidRPr="00996E67">
        <w:rPr>
          <w:rFonts w:ascii="Times New Roman" w:hAnsi="Times New Roman" w:cs="Times New Roman"/>
          <w:sz w:val="20"/>
          <w:szCs w:val="20"/>
        </w:rPr>
        <w:t xml:space="preserve"> (2018). Functional categorisation of dietary fibre in foods: Beyond ‘soluble’ vs ‘insoluble.’ </w:t>
      </w:r>
      <w:r w:rsidRPr="00996E67">
        <w:rPr>
          <w:rFonts w:ascii="Times New Roman" w:hAnsi="Times New Roman" w:cs="Times New Roman"/>
          <w:i/>
          <w:iCs/>
          <w:sz w:val="20"/>
          <w:szCs w:val="20"/>
        </w:rPr>
        <w:t>Trends in Food Science &amp; Technology, 86</w:t>
      </w:r>
      <w:r w:rsidRPr="00996E67">
        <w:rPr>
          <w:rFonts w:ascii="Times New Roman" w:hAnsi="Times New Roman" w:cs="Times New Roman"/>
          <w:sz w:val="20"/>
          <w:szCs w:val="20"/>
        </w:rPr>
        <w:t xml:space="preserve">, 563–568. </w:t>
      </w:r>
      <w:hyperlink r:id="rId20" w:tgtFrame="_new" w:history="1">
        <w:r w:rsidRPr="00996E67">
          <w:rPr>
            <w:rFonts w:ascii="Times New Roman" w:hAnsi="Times New Roman" w:cs="Times New Roman"/>
            <w:color w:val="0000FF"/>
            <w:sz w:val="20"/>
            <w:szCs w:val="20"/>
            <w:u w:val="single"/>
          </w:rPr>
          <w:t>https://doi.org/10.1016/j.tifs.2018.12.006</w:t>
        </w:r>
      </w:hyperlink>
    </w:p>
    <w:p w14:paraId="4842BECB"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pt-BR"/>
        </w:rPr>
        <w:t>Giuntini, E. B., Sardá, F. A. H., &amp; De Menezes, E. W.</w:t>
      </w:r>
      <w:r w:rsidRPr="00996E67">
        <w:rPr>
          <w:rFonts w:ascii="Times New Roman" w:hAnsi="Times New Roman" w:cs="Times New Roman"/>
          <w:sz w:val="20"/>
          <w:szCs w:val="20"/>
          <w:lang w:val="pt-BR"/>
        </w:rPr>
        <w:t xml:space="preserve"> (2022). </w:t>
      </w:r>
      <w:r w:rsidRPr="00996E67">
        <w:rPr>
          <w:rFonts w:ascii="Times New Roman" w:hAnsi="Times New Roman" w:cs="Times New Roman"/>
          <w:sz w:val="20"/>
          <w:szCs w:val="20"/>
        </w:rPr>
        <w:t xml:space="preserve">The effects of soluble dietary fibers on glycemic response: An overview and future perspectives. </w:t>
      </w:r>
      <w:r w:rsidRPr="00996E67">
        <w:rPr>
          <w:rFonts w:ascii="Times New Roman" w:hAnsi="Times New Roman" w:cs="Times New Roman"/>
          <w:i/>
          <w:iCs/>
          <w:sz w:val="20"/>
          <w:szCs w:val="20"/>
        </w:rPr>
        <w:t>Foods, 11</w:t>
      </w:r>
      <w:r w:rsidRPr="00996E67">
        <w:rPr>
          <w:rFonts w:ascii="Times New Roman" w:hAnsi="Times New Roman" w:cs="Times New Roman"/>
          <w:sz w:val="20"/>
          <w:szCs w:val="20"/>
        </w:rPr>
        <w:t xml:space="preserve">(23), 3934. </w:t>
      </w:r>
      <w:hyperlink r:id="rId21" w:tgtFrame="_new" w:history="1">
        <w:r w:rsidRPr="00996E67">
          <w:rPr>
            <w:rFonts w:ascii="Times New Roman" w:hAnsi="Times New Roman" w:cs="Times New Roman"/>
            <w:color w:val="0000FF"/>
            <w:sz w:val="20"/>
            <w:szCs w:val="20"/>
            <w:u w:val="single"/>
          </w:rPr>
          <w:t>https://doi.org/10.3390/foods11233934</w:t>
        </w:r>
      </w:hyperlink>
    </w:p>
    <w:p w14:paraId="439E3CD3"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Guarneiri, L. L., Kirkpatrick, C. F., &amp; Maki, K. C.</w:t>
      </w:r>
      <w:r w:rsidRPr="00996E67">
        <w:rPr>
          <w:rFonts w:ascii="Times New Roman" w:hAnsi="Times New Roman" w:cs="Times New Roman"/>
          <w:sz w:val="20"/>
          <w:szCs w:val="20"/>
        </w:rPr>
        <w:t xml:space="preserve"> (2025). Protein, fiber, and exercise: A narrative review of their roles in weight management and cardiometabolic health. </w:t>
      </w:r>
      <w:r w:rsidRPr="00996E67">
        <w:rPr>
          <w:rFonts w:ascii="Times New Roman" w:hAnsi="Times New Roman" w:cs="Times New Roman"/>
          <w:i/>
          <w:iCs/>
          <w:sz w:val="20"/>
          <w:szCs w:val="20"/>
        </w:rPr>
        <w:t>Lipids in Health and Disease, 24</w:t>
      </w:r>
      <w:r w:rsidRPr="00996E67">
        <w:rPr>
          <w:rFonts w:ascii="Times New Roman" w:hAnsi="Times New Roman" w:cs="Times New Roman"/>
          <w:sz w:val="20"/>
          <w:szCs w:val="20"/>
        </w:rPr>
        <w:t xml:space="preserve">(1), 237. </w:t>
      </w:r>
      <w:hyperlink r:id="rId22" w:tgtFrame="_new" w:history="1">
        <w:r w:rsidRPr="00996E67">
          <w:rPr>
            <w:rFonts w:ascii="Times New Roman" w:hAnsi="Times New Roman" w:cs="Times New Roman"/>
            <w:color w:val="0000FF"/>
            <w:sz w:val="20"/>
            <w:szCs w:val="20"/>
            <w:u w:val="single"/>
          </w:rPr>
          <w:t>https://doi.org/10.1186/s12944-025-02659-7</w:t>
        </w:r>
      </w:hyperlink>
    </w:p>
    <w:p w14:paraId="289044A5"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Ignot-Gutiérrez, A., Serena-Romero, G., Guajardo-Flores, D., Alvarado-Olivarez, M., Martínez, A. J., &amp; Cruz-Huerta, E.</w:t>
      </w:r>
      <w:r w:rsidRPr="00996E67">
        <w:rPr>
          <w:rFonts w:ascii="Times New Roman" w:hAnsi="Times New Roman" w:cs="Times New Roman"/>
          <w:sz w:val="20"/>
          <w:szCs w:val="20"/>
        </w:rPr>
        <w:t xml:space="preserve"> (2024). Proteins and peptides from food sources with effect on satiety and their role as anti-obesity agents: A narrative review. </w:t>
      </w:r>
      <w:r w:rsidRPr="00996E67">
        <w:rPr>
          <w:rFonts w:ascii="Times New Roman" w:hAnsi="Times New Roman" w:cs="Times New Roman"/>
          <w:i/>
          <w:iCs/>
          <w:sz w:val="20"/>
          <w:szCs w:val="20"/>
        </w:rPr>
        <w:t>Nutrients, 16</w:t>
      </w:r>
      <w:r w:rsidRPr="00996E67">
        <w:rPr>
          <w:rFonts w:ascii="Times New Roman" w:hAnsi="Times New Roman" w:cs="Times New Roman"/>
          <w:sz w:val="20"/>
          <w:szCs w:val="20"/>
        </w:rPr>
        <w:t xml:space="preserve">(20), 3560. </w:t>
      </w:r>
      <w:hyperlink r:id="rId23" w:tgtFrame="_new" w:history="1">
        <w:r w:rsidRPr="00996E67">
          <w:rPr>
            <w:rFonts w:ascii="Times New Roman" w:hAnsi="Times New Roman" w:cs="Times New Roman"/>
            <w:color w:val="0000FF"/>
            <w:sz w:val="20"/>
            <w:szCs w:val="20"/>
            <w:u w:val="single"/>
          </w:rPr>
          <w:t>https://doi.org/10.3390/nu16203560</w:t>
        </w:r>
      </w:hyperlink>
    </w:p>
    <w:p w14:paraId="41A62730"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Ivanova, S., Delattre, C., Karcheva-Bahchevanska, D., Benbasat, N., Nalbantova, V., &amp; Ivanov, K.</w:t>
      </w:r>
      <w:r w:rsidRPr="00996E67">
        <w:rPr>
          <w:rFonts w:ascii="Times New Roman" w:hAnsi="Times New Roman" w:cs="Times New Roman"/>
          <w:sz w:val="20"/>
          <w:szCs w:val="20"/>
        </w:rPr>
        <w:t xml:space="preserve"> (2021). Plant-based diet as a strategy for weight control. </w:t>
      </w:r>
      <w:r w:rsidRPr="00996E67">
        <w:rPr>
          <w:rFonts w:ascii="Times New Roman" w:hAnsi="Times New Roman" w:cs="Times New Roman"/>
          <w:i/>
          <w:iCs/>
          <w:sz w:val="20"/>
          <w:szCs w:val="20"/>
        </w:rPr>
        <w:t>Foods, 10</w:t>
      </w:r>
      <w:r w:rsidRPr="00996E67">
        <w:rPr>
          <w:rFonts w:ascii="Times New Roman" w:hAnsi="Times New Roman" w:cs="Times New Roman"/>
          <w:sz w:val="20"/>
          <w:szCs w:val="20"/>
        </w:rPr>
        <w:t xml:space="preserve">(12), 3052. </w:t>
      </w:r>
      <w:hyperlink r:id="rId24" w:tgtFrame="_new" w:history="1">
        <w:r w:rsidRPr="00996E67">
          <w:rPr>
            <w:rFonts w:ascii="Times New Roman" w:hAnsi="Times New Roman" w:cs="Times New Roman"/>
            <w:color w:val="0000FF"/>
            <w:sz w:val="20"/>
            <w:szCs w:val="20"/>
            <w:u w:val="single"/>
          </w:rPr>
          <w:t>https://doi.org/10.3390/foods10123052</w:t>
        </w:r>
      </w:hyperlink>
    </w:p>
    <w:p w14:paraId="1E3A2D96"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Jalilzadeh, M., &amp; Goharinezhad, S.</w:t>
      </w:r>
      <w:r w:rsidRPr="00996E67">
        <w:rPr>
          <w:rFonts w:ascii="Times New Roman" w:hAnsi="Times New Roman" w:cs="Times New Roman"/>
          <w:sz w:val="20"/>
          <w:szCs w:val="20"/>
        </w:rPr>
        <w:t xml:space="preserve"> (2025). Exploring the multifaceted factors influencing overweight and obesity: A scoping review. </w:t>
      </w:r>
      <w:r w:rsidRPr="00996E67">
        <w:rPr>
          <w:rFonts w:ascii="Times New Roman" w:hAnsi="Times New Roman" w:cs="Times New Roman"/>
          <w:i/>
          <w:iCs/>
          <w:sz w:val="20"/>
          <w:szCs w:val="20"/>
        </w:rPr>
        <w:t>Frontiers in Public Health, 13</w:t>
      </w:r>
      <w:r w:rsidRPr="00996E67">
        <w:rPr>
          <w:rFonts w:ascii="Times New Roman" w:hAnsi="Times New Roman" w:cs="Times New Roman"/>
          <w:sz w:val="20"/>
          <w:szCs w:val="20"/>
        </w:rPr>
        <w:t>, 1540756. https://doi.org/10.3389/fpubh.2025.1540756</w:t>
      </w:r>
    </w:p>
    <w:p w14:paraId="38F3A278"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Jensterle, M., Rizzo, M., Haluzík, M., &amp; Janež, A.</w:t>
      </w:r>
      <w:r w:rsidRPr="00996E67">
        <w:rPr>
          <w:rFonts w:ascii="Times New Roman" w:hAnsi="Times New Roman" w:cs="Times New Roman"/>
          <w:sz w:val="20"/>
          <w:szCs w:val="20"/>
        </w:rPr>
        <w:t xml:space="preserve"> (2022). Efficacy of GLP-1 RA approved for weight management in patients with or without diabetes: A narrative review. </w:t>
      </w:r>
      <w:r w:rsidRPr="00996E67">
        <w:rPr>
          <w:rFonts w:ascii="Times New Roman" w:hAnsi="Times New Roman" w:cs="Times New Roman"/>
          <w:i/>
          <w:iCs/>
          <w:sz w:val="20"/>
          <w:szCs w:val="20"/>
        </w:rPr>
        <w:t>Advances in Therapy, 39</w:t>
      </w:r>
      <w:r w:rsidRPr="00996E67">
        <w:rPr>
          <w:rFonts w:ascii="Times New Roman" w:hAnsi="Times New Roman" w:cs="Times New Roman"/>
          <w:sz w:val="20"/>
          <w:szCs w:val="20"/>
        </w:rPr>
        <w:t xml:space="preserve">, 2452–2467. </w:t>
      </w:r>
      <w:hyperlink r:id="rId25" w:tgtFrame="_new" w:history="1">
        <w:r w:rsidRPr="00996E67">
          <w:rPr>
            <w:rFonts w:ascii="Times New Roman" w:hAnsi="Times New Roman" w:cs="Times New Roman"/>
            <w:color w:val="0000FF"/>
            <w:sz w:val="20"/>
            <w:szCs w:val="20"/>
            <w:u w:val="single"/>
          </w:rPr>
          <w:t>https://doi.org/10.1007/s12325-022-02153-x</w:t>
        </w:r>
      </w:hyperlink>
    </w:p>
    <w:p w14:paraId="75AC9A4D"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Johnson, B. V. B., Milstead, M., Green, L., Kreider, R., &amp; Jones, R.</w:t>
      </w:r>
      <w:r w:rsidRPr="00996E67">
        <w:rPr>
          <w:rFonts w:ascii="Times New Roman" w:hAnsi="Times New Roman" w:cs="Times New Roman"/>
          <w:sz w:val="20"/>
          <w:szCs w:val="20"/>
        </w:rPr>
        <w:t xml:space="preserve"> (2025). Diet quality and nutrient distribution while using glucagon-like-peptide-1 receptor agonist. </w:t>
      </w:r>
      <w:r w:rsidRPr="00996E67">
        <w:rPr>
          <w:rFonts w:ascii="Times New Roman" w:hAnsi="Times New Roman" w:cs="Times New Roman"/>
          <w:i/>
          <w:iCs/>
          <w:sz w:val="20"/>
          <w:szCs w:val="20"/>
        </w:rPr>
        <w:t>Obesity Pillars, 16</w:t>
      </w:r>
      <w:r w:rsidRPr="00996E67">
        <w:rPr>
          <w:rFonts w:ascii="Times New Roman" w:hAnsi="Times New Roman" w:cs="Times New Roman"/>
          <w:sz w:val="20"/>
          <w:szCs w:val="20"/>
        </w:rPr>
        <w:t xml:space="preserve">, 100195. </w:t>
      </w:r>
      <w:hyperlink r:id="rId26" w:tgtFrame="_new" w:history="1">
        <w:r w:rsidRPr="00996E67">
          <w:rPr>
            <w:rFonts w:ascii="Times New Roman" w:hAnsi="Times New Roman" w:cs="Times New Roman"/>
            <w:color w:val="0000FF"/>
            <w:sz w:val="20"/>
            <w:szCs w:val="20"/>
            <w:u w:val="single"/>
          </w:rPr>
          <w:t>https://doi.org/10.1016/j.obpill.2025.100195</w:t>
        </w:r>
      </w:hyperlink>
    </w:p>
    <w:p w14:paraId="79A86B76" w14:textId="77777777" w:rsidR="00FF4F3A" w:rsidRPr="00996E67" w:rsidRDefault="00FF4F3A" w:rsidP="00996E67">
      <w:pPr>
        <w:pStyle w:val="ListParagraph"/>
        <w:numPr>
          <w:ilvl w:val="0"/>
          <w:numId w:val="4"/>
        </w:numPr>
        <w:jc w:val="both"/>
        <w:rPr>
          <w:rFonts w:ascii="Times New Roman" w:hAnsi="Times New Roman" w:cs="Times New Roman"/>
          <w:sz w:val="20"/>
          <w:szCs w:val="20"/>
          <w:lang w:val="es-ES"/>
        </w:rPr>
      </w:pPr>
      <w:r w:rsidRPr="00996E67">
        <w:rPr>
          <w:rFonts w:ascii="Times New Roman" w:hAnsi="Times New Roman" w:cs="Times New Roman"/>
          <w:b/>
          <w:bCs/>
          <w:sz w:val="20"/>
          <w:szCs w:val="20"/>
        </w:rPr>
        <w:lastRenderedPageBreak/>
        <w:t>Johnson, V. R., Washington, T. B., Chhabria, S., Wang, E. H., Czepiel, K., Reyes, K. J. C., &amp; Stanford, F. C.</w:t>
      </w:r>
      <w:r w:rsidRPr="00996E67">
        <w:rPr>
          <w:rFonts w:ascii="Times New Roman" w:hAnsi="Times New Roman" w:cs="Times New Roman"/>
          <w:sz w:val="20"/>
          <w:szCs w:val="20"/>
        </w:rPr>
        <w:t xml:space="preserve"> (2022). Food as medicine for obesity treatment and management. </w:t>
      </w:r>
      <w:r w:rsidRPr="00996E67">
        <w:rPr>
          <w:rFonts w:ascii="Times New Roman" w:hAnsi="Times New Roman" w:cs="Times New Roman"/>
          <w:i/>
          <w:iCs/>
          <w:sz w:val="20"/>
          <w:szCs w:val="20"/>
        </w:rPr>
        <w:t>Clinical Therapeutics, 44</w:t>
      </w:r>
      <w:r w:rsidRPr="00996E67">
        <w:rPr>
          <w:rFonts w:ascii="Times New Roman" w:hAnsi="Times New Roman" w:cs="Times New Roman"/>
          <w:sz w:val="20"/>
          <w:szCs w:val="20"/>
        </w:rPr>
        <w:t xml:space="preserve">(5), 671–681. </w:t>
      </w:r>
      <w:hyperlink r:id="rId27" w:tgtFrame="_new" w:history="1">
        <w:r w:rsidRPr="00996E67">
          <w:rPr>
            <w:rFonts w:ascii="Times New Roman" w:hAnsi="Times New Roman" w:cs="Times New Roman"/>
            <w:color w:val="0000FF"/>
            <w:sz w:val="20"/>
            <w:szCs w:val="20"/>
            <w:u w:val="single"/>
            <w:lang w:val="es-ES"/>
          </w:rPr>
          <w:t>https://doi.org/10.1016/j.clinthera.2022.05.001</w:t>
        </w:r>
      </w:hyperlink>
    </w:p>
    <w:p w14:paraId="4D2F98DC"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es-ES"/>
        </w:rPr>
        <w:t>Jones, L. A., &amp; Brierley, D. I.</w:t>
      </w:r>
      <w:r w:rsidRPr="00996E67">
        <w:rPr>
          <w:rFonts w:ascii="Times New Roman" w:hAnsi="Times New Roman" w:cs="Times New Roman"/>
          <w:sz w:val="20"/>
          <w:szCs w:val="20"/>
          <w:lang w:val="es-ES"/>
        </w:rPr>
        <w:t xml:space="preserve"> (2025). </w:t>
      </w:r>
      <w:r w:rsidRPr="00996E67">
        <w:rPr>
          <w:rFonts w:ascii="Times New Roman" w:hAnsi="Times New Roman" w:cs="Times New Roman"/>
          <w:sz w:val="20"/>
          <w:szCs w:val="20"/>
        </w:rPr>
        <w:t xml:space="preserve">GLP-1 and the neurobiology of eating control: Recent advances. </w:t>
      </w:r>
      <w:r w:rsidRPr="00996E67">
        <w:rPr>
          <w:rFonts w:ascii="Times New Roman" w:hAnsi="Times New Roman" w:cs="Times New Roman"/>
          <w:i/>
          <w:iCs/>
          <w:sz w:val="20"/>
          <w:szCs w:val="20"/>
        </w:rPr>
        <w:t>Endocrinology, 166</w:t>
      </w:r>
      <w:r w:rsidRPr="00996E67">
        <w:rPr>
          <w:rFonts w:ascii="Times New Roman" w:hAnsi="Times New Roman" w:cs="Times New Roman"/>
          <w:sz w:val="20"/>
          <w:szCs w:val="20"/>
        </w:rPr>
        <w:t xml:space="preserve">(2). </w:t>
      </w:r>
      <w:hyperlink r:id="rId28" w:tgtFrame="_new" w:history="1">
        <w:r w:rsidRPr="00996E67">
          <w:rPr>
            <w:rFonts w:ascii="Times New Roman" w:hAnsi="Times New Roman" w:cs="Times New Roman"/>
            <w:color w:val="0000FF"/>
            <w:sz w:val="20"/>
            <w:szCs w:val="20"/>
            <w:u w:val="single"/>
          </w:rPr>
          <w:t>https://doi.org/10.1210/endocr/bqae167</w:t>
        </w:r>
      </w:hyperlink>
    </w:p>
    <w:p w14:paraId="360807AA" w14:textId="77777777" w:rsidR="00FF4F3A" w:rsidRPr="00996E67" w:rsidRDefault="00FF4F3A" w:rsidP="00996E67">
      <w:pPr>
        <w:pStyle w:val="ListParagraph"/>
        <w:numPr>
          <w:ilvl w:val="0"/>
          <w:numId w:val="4"/>
        </w:numPr>
        <w:jc w:val="both"/>
        <w:rPr>
          <w:rFonts w:ascii="Times New Roman" w:hAnsi="Times New Roman" w:cs="Times New Roman"/>
          <w:sz w:val="20"/>
          <w:szCs w:val="20"/>
          <w:lang w:val="pt-BR"/>
        </w:rPr>
      </w:pPr>
      <w:r w:rsidRPr="00996E67">
        <w:rPr>
          <w:rFonts w:ascii="Times New Roman" w:hAnsi="Times New Roman" w:cs="Times New Roman"/>
          <w:b/>
          <w:bCs/>
          <w:sz w:val="20"/>
          <w:szCs w:val="20"/>
        </w:rPr>
        <w:t>Kolli, R. T., Aoutla, S., Jyothi, N., Kalifa, M. R. H. M., Raju, A., &amp; Muralidharan, K. C.</w:t>
      </w:r>
      <w:r w:rsidRPr="00996E67">
        <w:rPr>
          <w:rFonts w:ascii="Times New Roman" w:hAnsi="Times New Roman" w:cs="Times New Roman"/>
          <w:sz w:val="20"/>
          <w:szCs w:val="20"/>
        </w:rPr>
        <w:t xml:space="preserve"> (2025). Rebound or retention: A meta-analysis of weight regain after discontinuation of GLP-1 receptor agonists and other anti-obesity drugs. </w:t>
      </w:r>
      <w:r w:rsidRPr="00996E67">
        <w:rPr>
          <w:rFonts w:ascii="Times New Roman" w:hAnsi="Times New Roman" w:cs="Times New Roman"/>
          <w:i/>
          <w:iCs/>
          <w:sz w:val="20"/>
          <w:szCs w:val="20"/>
          <w:lang w:val="pt-BR"/>
        </w:rPr>
        <w:t>Cureus, 17</w:t>
      </w:r>
      <w:r w:rsidRPr="00996E67">
        <w:rPr>
          <w:rFonts w:ascii="Times New Roman" w:hAnsi="Times New Roman" w:cs="Times New Roman"/>
          <w:sz w:val="20"/>
          <w:szCs w:val="20"/>
          <w:lang w:val="pt-BR"/>
        </w:rPr>
        <w:t xml:space="preserve">(10), e94926. </w:t>
      </w:r>
      <w:hyperlink r:id="rId29" w:tgtFrame="_new" w:history="1">
        <w:r w:rsidRPr="00996E67">
          <w:rPr>
            <w:rFonts w:ascii="Times New Roman" w:hAnsi="Times New Roman" w:cs="Times New Roman"/>
            <w:color w:val="0000FF"/>
            <w:sz w:val="20"/>
            <w:szCs w:val="20"/>
            <w:u w:val="single"/>
            <w:lang w:val="pt-BR"/>
          </w:rPr>
          <w:t>https://doi.org/10.7759/cureus.94926</w:t>
        </w:r>
      </w:hyperlink>
    </w:p>
    <w:p w14:paraId="6D1AD321"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Konstantinidi, M., &amp; Koutelidakis, A. E.</w:t>
      </w:r>
      <w:r w:rsidRPr="00996E67">
        <w:rPr>
          <w:rFonts w:ascii="Times New Roman" w:hAnsi="Times New Roman" w:cs="Times New Roman"/>
          <w:sz w:val="20"/>
          <w:szCs w:val="20"/>
        </w:rPr>
        <w:t xml:space="preserve"> (2019). Functional foods and bioactive compounds: A review of their possible role on weight management and obesity’s metabolic consequences. </w:t>
      </w:r>
      <w:r w:rsidRPr="00996E67">
        <w:rPr>
          <w:rFonts w:ascii="Times New Roman" w:hAnsi="Times New Roman" w:cs="Times New Roman"/>
          <w:i/>
          <w:iCs/>
          <w:sz w:val="20"/>
          <w:szCs w:val="20"/>
        </w:rPr>
        <w:t>Medicines, 6</w:t>
      </w:r>
      <w:r w:rsidRPr="00996E67">
        <w:rPr>
          <w:rFonts w:ascii="Times New Roman" w:hAnsi="Times New Roman" w:cs="Times New Roman"/>
          <w:sz w:val="20"/>
          <w:szCs w:val="20"/>
        </w:rPr>
        <w:t xml:space="preserve">(3), 94. </w:t>
      </w:r>
      <w:hyperlink r:id="rId30" w:tgtFrame="_new" w:history="1">
        <w:r w:rsidRPr="00996E67">
          <w:rPr>
            <w:rFonts w:ascii="Times New Roman" w:hAnsi="Times New Roman" w:cs="Times New Roman"/>
            <w:color w:val="0000FF"/>
            <w:sz w:val="20"/>
            <w:szCs w:val="20"/>
            <w:u w:val="single"/>
          </w:rPr>
          <w:t>https://doi.org/10.3390/medicines6030094</w:t>
        </w:r>
      </w:hyperlink>
    </w:p>
    <w:p w14:paraId="3922990B"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Levin, P. A., Nguyen, H., Wittbrodt, E., &amp; Kim, S. C.</w:t>
      </w:r>
      <w:r w:rsidRPr="00996E67">
        <w:rPr>
          <w:rFonts w:ascii="Times New Roman" w:hAnsi="Times New Roman" w:cs="Times New Roman"/>
          <w:sz w:val="20"/>
          <w:szCs w:val="20"/>
        </w:rPr>
        <w:t xml:space="preserve"> (2017). Glucagon-like peptide-1 receptor agonists: A systematic review of comparative effectiveness research. </w:t>
      </w:r>
      <w:r w:rsidRPr="00996E67">
        <w:rPr>
          <w:rFonts w:ascii="Times New Roman" w:hAnsi="Times New Roman" w:cs="Times New Roman"/>
          <w:i/>
          <w:iCs/>
          <w:sz w:val="20"/>
          <w:szCs w:val="20"/>
        </w:rPr>
        <w:t>Diabetes Metabolic Syndrome and Obesity, 10</w:t>
      </w:r>
      <w:r w:rsidRPr="00996E67">
        <w:rPr>
          <w:rFonts w:ascii="Times New Roman" w:hAnsi="Times New Roman" w:cs="Times New Roman"/>
          <w:sz w:val="20"/>
          <w:szCs w:val="20"/>
        </w:rPr>
        <w:t xml:space="preserve">, 123–139. </w:t>
      </w:r>
      <w:hyperlink r:id="rId31" w:tgtFrame="_new" w:history="1">
        <w:r w:rsidRPr="00996E67">
          <w:rPr>
            <w:rFonts w:ascii="Times New Roman" w:hAnsi="Times New Roman" w:cs="Times New Roman"/>
            <w:color w:val="0000FF"/>
            <w:sz w:val="20"/>
            <w:szCs w:val="20"/>
            <w:u w:val="single"/>
          </w:rPr>
          <w:t>https://doi.org/10.2147/dmso.s130834</w:t>
        </w:r>
      </w:hyperlink>
    </w:p>
    <w:p w14:paraId="7F55FECD"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es-ES"/>
        </w:rPr>
        <w:t>Li, Z., Han, Z., Sun, R., Xuan, X., &amp; Huang, C.</w:t>
      </w:r>
      <w:r w:rsidRPr="00996E67">
        <w:rPr>
          <w:rFonts w:ascii="Times New Roman" w:hAnsi="Times New Roman" w:cs="Times New Roman"/>
          <w:sz w:val="20"/>
          <w:szCs w:val="20"/>
          <w:lang w:val="es-ES"/>
        </w:rPr>
        <w:t xml:space="preserve"> (2025). </w:t>
      </w:r>
      <w:r w:rsidRPr="00996E67">
        <w:rPr>
          <w:rFonts w:ascii="Times New Roman" w:hAnsi="Times New Roman" w:cs="Times New Roman"/>
          <w:sz w:val="20"/>
          <w:szCs w:val="20"/>
        </w:rPr>
        <w:t xml:space="preserve">Long-term efficacy trajectories of GLP-1 receptor agonists: A systematic review and network meta-analysis. </w:t>
      </w:r>
      <w:r w:rsidRPr="00996E67">
        <w:rPr>
          <w:rFonts w:ascii="Times New Roman" w:hAnsi="Times New Roman" w:cs="Times New Roman"/>
          <w:i/>
          <w:iCs/>
          <w:sz w:val="20"/>
          <w:szCs w:val="20"/>
        </w:rPr>
        <w:t>Diabetes Metabolic Syndrome and Obesity, 18</w:t>
      </w:r>
      <w:r w:rsidRPr="00996E67">
        <w:rPr>
          <w:rFonts w:ascii="Times New Roman" w:hAnsi="Times New Roman" w:cs="Times New Roman"/>
          <w:sz w:val="20"/>
          <w:szCs w:val="20"/>
        </w:rPr>
        <w:t xml:space="preserve">, 3611–3624. </w:t>
      </w:r>
      <w:hyperlink r:id="rId32" w:tgtFrame="_new" w:history="1">
        <w:r w:rsidRPr="00996E67">
          <w:rPr>
            <w:rFonts w:ascii="Times New Roman" w:hAnsi="Times New Roman" w:cs="Times New Roman"/>
            <w:color w:val="0000FF"/>
            <w:sz w:val="20"/>
            <w:szCs w:val="20"/>
            <w:u w:val="single"/>
          </w:rPr>
          <w:t>https://doi.org/10.2147/dmso.s539822</w:t>
        </w:r>
      </w:hyperlink>
    </w:p>
    <w:p w14:paraId="211D0D70"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Machalias, A., Ferguson, J. J. A., Guy, T., Beck, E. J.</w:t>
      </w:r>
      <w:r w:rsidRPr="00996E67">
        <w:rPr>
          <w:rFonts w:ascii="Times New Roman" w:hAnsi="Times New Roman" w:cs="Times New Roman"/>
          <w:sz w:val="20"/>
          <w:szCs w:val="20"/>
        </w:rPr>
        <w:t xml:space="preserve"> (2025). Cereal fibers and satiety: A systematic review. </w:t>
      </w:r>
      <w:r w:rsidRPr="00996E67">
        <w:rPr>
          <w:rFonts w:ascii="Times New Roman" w:hAnsi="Times New Roman" w:cs="Times New Roman"/>
          <w:i/>
          <w:iCs/>
          <w:sz w:val="20"/>
          <w:szCs w:val="20"/>
        </w:rPr>
        <w:t>Nutrition Reviews</w:t>
      </w:r>
      <w:r w:rsidRPr="00996E67">
        <w:rPr>
          <w:rFonts w:ascii="Times New Roman" w:hAnsi="Times New Roman" w:cs="Times New Roman"/>
          <w:sz w:val="20"/>
          <w:szCs w:val="20"/>
        </w:rPr>
        <w:t xml:space="preserve">, 1–22. </w:t>
      </w:r>
      <w:hyperlink r:id="rId33" w:tgtFrame="_new" w:history="1">
        <w:r w:rsidRPr="00996E67">
          <w:rPr>
            <w:rFonts w:ascii="Times New Roman" w:hAnsi="Times New Roman" w:cs="Times New Roman"/>
            <w:color w:val="0000FF"/>
            <w:sz w:val="20"/>
            <w:szCs w:val="20"/>
            <w:u w:val="single"/>
          </w:rPr>
          <w:t>https://doi.org/10.1093/nutrit/nuaf083</w:t>
        </w:r>
      </w:hyperlink>
    </w:p>
    <w:p w14:paraId="72994B0A"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pt-BR"/>
        </w:rPr>
        <w:t>Mao, J., Cui, H., Zhou, X., &amp; Zhang, S.</w:t>
      </w:r>
      <w:r w:rsidRPr="00996E67">
        <w:rPr>
          <w:rFonts w:ascii="Times New Roman" w:hAnsi="Times New Roman" w:cs="Times New Roman"/>
          <w:sz w:val="20"/>
          <w:szCs w:val="20"/>
          <w:lang w:val="pt-BR"/>
        </w:rPr>
        <w:t xml:space="preserve"> (2025). </w:t>
      </w:r>
      <w:r w:rsidRPr="00996E67">
        <w:rPr>
          <w:rFonts w:ascii="Times New Roman" w:hAnsi="Times New Roman" w:cs="Times New Roman"/>
          <w:sz w:val="20"/>
          <w:szCs w:val="20"/>
        </w:rPr>
        <w:t xml:space="preserve">Recent progress in exploring dietary nutrition and dietary patterns in periodontitis with a focus on SCFAs. </w:t>
      </w:r>
      <w:r w:rsidRPr="00996E67">
        <w:rPr>
          <w:rFonts w:ascii="Times New Roman" w:hAnsi="Times New Roman" w:cs="Times New Roman"/>
          <w:i/>
          <w:iCs/>
          <w:sz w:val="20"/>
          <w:szCs w:val="20"/>
        </w:rPr>
        <w:t>Nutrients, 17</w:t>
      </w:r>
      <w:r w:rsidRPr="00996E67">
        <w:rPr>
          <w:rFonts w:ascii="Times New Roman" w:hAnsi="Times New Roman" w:cs="Times New Roman"/>
          <w:sz w:val="20"/>
          <w:szCs w:val="20"/>
        </w:rPr>
        <w:t xml:space="preserve">(19), 3150. </w:t>
      </w:r>
      <w:hyperlink r:id="rId34" w:tgtFrame="_new" w:history="1">
        <w:r w:rsidRPr="00996E67">
          <w:rPr>
            <w:rFonts w:ascii="Times New Roman" w:hAnsi="Times New Roman" w:cs="Times New Roman"/>
            <w:color w:val="0000FF"/>
            <w:sz w:val="20"/>
            <w:szCs w:val="20"/>
            <w:u w:val="single"/>
          </w:rPr>
          <w:t>https://doi.org/10.3390/nu17193150</w:t>
        </w:r>
      </w:hyperlink>
    </w:p>
    <w:p w14:paraId="7DE0B82A"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McEwan, P., Faurby, M., Lübker, C., Padgett, T., &amp; Toliver, J. C.</w:t>
      </w:r>
      <w:r w:rsidRPr="00996E67">
        <w:rPr>
          <w:rFonts w:ascii="Times New Roman" w:hAnsi="Times New Roman" w:cs="Times New Roman"/>
          <w:sz w:val="20"/>
          <w:szCs w:val="20"/>
        </w:rPr>
        <w:t xml:space="preserve"> (2025). The evolving burden of obesity in the US: A novel population-level system dynamics approach. </w:t>
      </w:r>
      <w:r w:rsidRPr="00996E67">
        <w:rPr>
          <w:rFonts w:ascii="Times New Roman" w:hAnsi="Times New Roman" w:cs="Times New Roman"/>
          <w:i/>
          <w:iCs/>
          <w:sz w:val="20"/>
          <w:szCs w:val="20"/>
        </w:rPr>
        <w:t>Journal of Medical Economics, 28</w:t>
      </w:r>
      <w:r w:rsidRPr="00996E67">
        <w:rPr>
          <w:rFonts w:ascii="Times New Roman" w:hAnsi="Times New Roman" w:cs="Times New Roman"/>
          <w:sz w:val="20"/>
          <w:szCs w:val="20"/>
        </w:rPr>
        <w:t xml:space="preserve">(1), 1512–1525. </w:t>
      </w:r>
      <w:hyperlink r:id="rId35" w:tgtFrame="_new" w:history="1">
        <w:r w:rsidRPr="00996E67">
          <w:rPr>
            <w:rFonts w:ascii="Times New Roman" w:hAnsi="Times New Roman" w:cs="Times New Roman"/>
            <w:color w:val="0000FF"/>
            <w:sz w:val="20"/>
            <w:szCs w:val="20"/>
            <w:u w:val="single"/>
          </w:rPr>
          <w:t>https://doi.org/10.1080/13696998.2025.2554518</w:t>
        </w:r>
      </w:hyperlink>
    </w:p>
    <w:p w14:paraId="31061513"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 xml:space="preserve">Moiz, A., Filion, K. B., Tsoukas, M. A., Yu, O. H., Peters, T. M., &amp; Eisenberg, M. J. </w:t>
      </w:r>
      <w:r w:rsidRPr="00996E67">
        <w:rPr>
          <w:rFonts w:ascii="Times New Roman" w:hAnsi="Times New Roman" w:cs="Times New Roman"/>
          <w:sz w:val="20"/>
          <w:szCs w:val="20"/>
        </w:rPr>
        <w:t>(2025b). Mechanisms of GLP-1 Receptor Agonist-Induced Weight loss: A review of central and peripheral pathways in appetite and energy regulation. The American Journal of Medicine, 138(6), 934–940.</w:t>
      </w:r>
      <w:r w:rsidRPr="00996E67">
        <w:rPr>
          <w:rFonts w:ascii="Times New Roman" w:hAnsi="Times New Roman" w:cs="Times New Roman"/>
          <w:b/>
          <w:bCs/>
          <w:sz w:val="20"/>
          <w:szCs w:val="20"/>
        </w:rPr>
        <w:t xml:space="preserve"> </w:t>
      </w:r>
      <w:hyperlink r:id="rId36" w:history="1">
        <w:r w:rsidRPr="00996E67">
          <w:rPr>
            <w:rFonts w:ascii="Times New Roman" w:hAnsi="Times New Roman" w:cs="Times New Roman"/>
            <w:color w:val="467886"/>
            <w:sz w:val="20"/>
            <w:szCs w:val="20"/>
            <w:u w:val="single"/>
          </w:rPr>
          <w:t>https://doi.org/10.1016/j.amjmed.2025.01.021</w:t>
        </w:r>
      </w:hyperlink>
    </w:p>
    <w:p w14:paraId="51635072"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Miller, M. G., Starr, K. N. P., Rincker, J., Orenduff, M. C., McDonald, S. R., Pieper, C. F., Fruik, A. R., Lyles, K. W., &amp; Bales, C. W.</w:t>
      </w:r>
      <w:r w:rsidRPr="00996E67">
        <w:rPr>
          <w:rFonts w:ascii="Times New Roman" w:hAnsi="Times New Roman" w:cs="Times New Roman"/>
          <w:sz w:val="20"/>
          <w:szCs w:val="20"/>
        </w:rPr>
        <w:t xml:space="preserve"> (2021). Rationale and design for a higher (dairy) protein weight-loss intervention. </w:t>
      </w:r>
      <w:r w:rsidRPr="00996E67">
        <w:rPr>
          <w:rFonts w:ascii="Times New Roman" w:hAnsi="Times New Roman" w:cs="Times New Roman"/>
          <w:i/>
          <w:iCs/>
          <w:sz w:val="20"/>
          <w:szCs w:val="20"/>
        </w:rPr>
        <w:t>Journal of Nutrition in Gerontology and Geriatrics, 40</w:t>
      </w:r>
      <w:r w:rsidRPr="00996E67">
        <w:rPr>
          <w:rFonts w:ascii="Times New Roman" w:hAnsi="Times New Roman" w:cs="Times New Roman"/>
          <w:sz w:val="20"/>
          <w:szCs w:val="20"/>
        </w:rPr>
        <w:t xml:space="preserve">(2–3), 150–170. </w:t>
      </w:r>
      <w:hyperlink r:id="rId37" w:tgtFrame="_new" w:history="1">
        <w:r w:rsidRPr="00996E67">
          <w:rPr>
            <w:rFonts w:ascii="Times New Roman" w:hAnsi="Times New Roman" w:cs="Times New Roman"/>
            <w:color w:val="0000FF"/>
            <w:sz w:val="20"/>
            <w:szCs w:val="20"/>
            <w:u w:val="single"/>
          </w:rPr>
          <w:t>https://doi.org/10.1080/21551197.2021.1896615</w:t>
        </w:r>
      </w:hyperlink>
    </w:p>
    <w:p w14:paraId="6A11F762"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fr-FR"/>
        </w:rPr>
        <w:t>Moir, A., Filion, K. B., Tsoukas, M. A., Yu, O. H. Y., Peters, T. M., &amp; Eisenberg, M. J.</w:t>
      </w:r>
      <w:r w:rsidRPr="00996E67">
        <w:rPr>
          <w:rFonts w:ascii="Times New Roman" w:hAnsi="Times New Roman" w:cs="Times New Roman"/>
          <w:sz w:val="20"/>
          <w:szCs w:val="20"/>
          <w:lang w:val="fr-FR"/>
        </w:rPr>
        <w:t xml:space="preserve"> (2025b). </w:t>
      </w:r>
      <w:r w:rsidRPr="00996E67">
        <w:rPr>
          <w:rFonts w:ascii="Times New Roman" w:hAnsi="Times New Roman" w:cs="Times New Roman"/>
          <w:sz w:val="20"/>
          <w:szCs w:val="20"/>
        </w:rPr>
        <w:t xml:space="preserve">The expanding role of GLP-1 receptor agonists: A narrative review. </w:t>
      </w:r>
      <w:r w:rsidRPr="00996E67">
        <w:rPr>
          <w:rFonts w:ascii="Times New Roman" w:hAnsi="Times New Roman" w:cs="Times New Roman"/>
          <w:i/>
          <w:iCs/>
          <w:sz w:val="20"/>
          <w:szCs w:val="20"/>
        </w:rPr>
        <w:t>EClinicalMedicine, 86</w:t>
      </w:r>
      <w:r w:rsidRPr="00996E67">
        <w:rPr>
          <w:rFonts w:ascii="Times New Roman" w:hAnsi="Times New Roman" w:cs="Times New Roman"/>
          <w:sz w:val="20"/>
          <w:szCs w:val="20"/>
        </w:rPr>
        <w:t xml:space="preserve">, 103363. </w:t>
      </w:r>
      <w:hyperlink r:id="rId38" w:tgtFrame="_new" w:history="1">
        <w:r w:rsidRPr="00996E67">
          <w:rPr>
            <w:rFonts w:ascii="Times New Roman" w:hAnsi="Times New Roman" w:cs="Times New Roman"/>
            <w:color w:val="0000FF"/>
            <w:sz w:val="20"/>
            <w:szCs w:val="20"/>
            <w:u w:val="single"/>
          </w:rPr>
          <w:t>https://doi.org/10.1016/j.eclinm.2025.103363</w:t>
        </w:r>
      </w:hyperlink>
    </w:p>
    <w:p w14:paraId="4E4C5FDD"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Muirhead, R., Kizirian, N., Lal, R., Black, K., Prys-Davies, A., Nassar, N., Baur, L., Sainsbury, A., Sweeting, A., &amp; Markovic, T.</w:t>
      </w:r>
      <w:r w:rsidRPr="00996E67">
        <w:rPr>
          <w:rFonts w:ascii="Times New Roman" w:hAnsi="Times New Roman" w:cs="Times New Roman"/>
          <w:sz w:val="20"/>
          <w:szCs w:val="20"/>
        </w:rPr>
        <w:t xml:space="preserve"> (2021). A Pilot Randomized Controlled Trial of a Partial Meal Replacement Preconception Weight Loss Program for Women with Overweight and Obesity. </w:t>
      </w:r>
      <w:r w:rsidRPr="00996E67">
        <w:rPr>
          <w:rFonts w:ascii="Times New Roman" w:hAnsi="Times New Roman" w:cs="Times New Roman"/>
          <w:i/>
          <w:iCs/>
          <w:sz w:val="20"/>
          <w:szCs w:val="20"/>
        </w:rPr>
        <w:t>Nutrients, 13</w:t>
      </w:r>
      <w:r w:rsidRPr="00996E67">
        <w:rPr>
          <w:rFonts w:ascii="Times New Roman" w:hAnsi="Times New Roman" w:cs="Times New Roman"/>
          <w:sz w:val="20"/>
          <w:szCs w:val="20"/>
        </w:rPr>
        <w:t xml:space="preserve">(9), 3200. </w:t>
      </w:r>
      <w:hyperlink r:id="rId39" w:tgtFrame="_new" w:history="1">
        <w:r w:rsidRPr="00996E67">
          <w:rPr>
            <w:rFonts w:ascii="Times New Roman" w:hAnsi="Times New Roman" w:cs="Times New Roman"/>
            <w:color w:val="0000FF"/>
            <w:sz w:val="20"/>
            <w:szCs w:val="20"/>
            <w:u w:val="single"/>
          </w:rPr>
          <w:t>https://doi.org/10.3390/nu13093200</w:t>
        </w:r>
      </w:hyperlink>
    </w:p>
    <w:p w14:paraId="63068563"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Nunns, M., Febrey, S., Buckland, J., Abbott, R., Whear, R., Bethel, A., Boddy, K., Shaw, L., Coon, J. T., &amp; Melendez-Torres, G.</w:t>
      </w:r>
      <w:r w:rsidRPr="00996E67">
        <w:rPr>
          <w:rFonts w:ascii="Times New Roman" w:hAnsi="Times New Roman" w:cs="Times New Roman"/>
          <w:sz w:val="20"/>
          <w:szCs w:val="20"/>
        </w:rPr>
        <w:t xml:space="preserve"> (2025). The quantity, quality and findings of network meta-analyses evaluating the effectiveness of GLP-1 RAs for weight loss. </w:t>
      </w:r>
      <w:r w:rsidRPr="00996E67">
        <w:rPr>
          <w:rFonts w:ascii="Times New Roman" w:hAnsi="Times New Roman" w:cs="Times New Roman"/>
          <w:i/>
          <w:iCs/>
          <w:sz w:val="20"/>
          <w:szCs w:val="20"/>
        </w:rPr>
        <w:t>Health Technology Assessment</w:t>
      </w:r>
      <w:r w:rsidRPr="00996E67">
        <w:rPr>
          <w:rFonts w:ascii="Times New Roman" w:hAnsi="Times New Roman" w:cs="Times New Roman"/>
          <w:sz w:val="20"/>
          <w:szCs w:val="20"/>
        </w:rPr>
        <w:t xml:space="preserve">, 1–73. </w:t>
      </w:r>
      <w:hyperlink r:id="rId40" w:tgtFrame="_new" w:history="1">
        <w:r w:rsidRPr="00996E67">
          <w:rPr>
            <w:rFonts w:ascii="Times New Roman" w:hAnsi="Times New Roman" w:cs="Times New Roman"/>
            <w:color w:val="0000FF"/>
            <w:sz w:val="20"/>
            <w:szCs w:val="20"/>
            <w:u w:val="single"/>
          </w:rPr>
          <w:t>https://doi.org/10.3310/skht8119</w:t>
        </w:r>
      </w:hyperlink>
    </w:p>
    <w:p w14:paraId="0C381A95"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Ockerman, K. M., Furnas, H. J., Sheer, A., &amp; Sorice-Virk, S.</w:t>
      </w:r>
      <w:r w:rsidRPr="00996E67">
        <w:rPr>
          <w:rFonts w:ascii="Times New Roman" w:hAnsi="Times New Roman" w:cs="Times New Roman"/>
          <w:sz w:val="20"/>
          <w:szCs w:val="20"/>
        </w:rPr>
        <w:t xml:space="preserve"> (2024). Navigating the evolving roles of GLP-1 agonists safely and effectively. </w:t>
      </w:r>
      <w:r w:rsidRPr="00996E67">
        <w:rPr>
          <w:rFonts w:ascii="Times New Roman" w:hAnsi="Times New Roman" w:cs="Times New Roman"/>
          <w:i/>
          <w:iCs/>
          <w:sz w:val="20"/>
          <w:szCs w:val="20"/>
        </w:rPr>
        <w:t>Aesthetic Surgery Journal, 44</w:t>
      </w:r>
      <w:r w:rsidRPr="00996E67">
        <w:rPr>
          <w:rFonts w:ascii="Times New Roman" w:hAnsi="Times New Roman" w:cs="Times New Roman"/>
          <w:sz w:val="20"/>
          <w:szCs w:val="20"/>
        </w:rPr>
        <w:t xml:space="preserve">(11), 1241–1245. </w:t>
      </w:r>
      <w:hyperlink r:id="rId41" w:tgtFrame="_new" w:history="1">
        <w:r w:rsidRPr="00996E67">
          <w:rPr>
            <w:rFonts w:ascii="Times New Roman" w:hAnsi="Times New Roman" w:cs="Times New Roman"/>
            <w:color w:val="0000FF"/>
            <w:sz w:val="20"/>
            <w:szCs w:val="20"/>
            <w:u w:val="single"/>
          </w:rPr>
          <w:t>https://doi.org/10.1093/asj/sjae166</w:t>
        </w:r>
      </w:hyperlink>
    </w:p>
    <w:p w14:paraId="5F608405"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Purcell, A. R., Zhen, X. M., Wong, J., &amp; Glastras, S. J.</w:t>
      </w:r>
      <w:r w:rsidRPr="00996E67">
        <w:rPr>
          <w:rFonts w:ascii="Times New Roman" w:hAnsi="Times New Roman" w:cs="Times New Roman"/>
          <w:sz w:val="20"/>
          <w:szCs w:val="20"/>
        </w:rPr>
        <w:t xml:space="preserve"> (2025). Glucagon-like peptide-1 receptor agonist treatment reduces body weight and improves glycaemic outcomes in patients with concurrent overweight/obesity and type 1 diabetes: A systematic review and meta-analysis. </w:t>
      </w:r>
      <w:r w:rsidRPr="00996E67">
        <w:rPr>
          <w:rFonts w:ascii="Times New Roman" w:hAnsi="Times New Roman" w:cs="Times New Roman"/>
          <w:i/>
          <w:iCs/>
          <w:sz w:val="20"/>
          <w:szCs w:val="20"/>
        </w:rPr>
        <w:t>Diabetes Obesity and Metabolism</w:t>
      </w:r>
      <w:r w:rsidRPr="00996E67">
        <w:rPr>
          <w:rFonts w:ascii="Times New Roman" w:hAnsi="Times New Roman" w:cs="Times New Roman"/>
          <w:sz w:val="20"/>
          <w:szCs w:val="20"/>
        </w:rPr>
        <w:t xml:space="preserve">. </w:t>
      </w:r>
      <w:hyperlink r:id="rId42" w:tgtFrame="_new" w:history="1">
        <w:r w:rsidRPr="00996E67">
          <w:rPr>
            <w:rFonts w:ascii="Times New Roman" w:hAnsi="Times New Roman" w:cs="Times New Roman"/>
            <w:color w:val="0000FF"/>
            <w:sz w:val="20"/>
            <w:szCs w:val="20"/>
            <w:u w:val="single"/>
          </w:rPr>
          <w:t>https://doi.org/10.1111/dom.70188</w:t>
        </w:r>
      </w:hyperlink>
    </w:p>
    <w:p w14:paraId="14B58F02"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fr-FR"/>
        </w:rPr>
        <w:lastRenderedPageBreak/>
        <w:t>Robinson, E., Khuttan, M., McFarland-Lesser, I., Patel, Z., &amp; Jones, A.</w:t>
      </w:r>
      <w:r w:rsidRPr="00996E67">
        <w:rPr>
          <w:rFonts w:ascii="Times New Roman" w:hAnsi="Times New Roman" w:cs="Times New Roman"/>
          <w:sz w:val="20"/>
          <w:szCs w:val="20"/>
          <w:lang w:val="fr-FR"/>
        </w:rPr>
        <w:t xml:space="preserve"> (2022). </w:t>
      </w:r>
      <w:r w:rsidRPr="00996E67">
        <w:rPr>
          <w:rFonts w:ascii="Times New Roman" w:hAnsi="Times New Roman" w:cs="Times New Roman"/>
          <w:sz w:val="20"/>
          <w:szCs w:val="20"/>
        </w:rPr>
        <w:t xml:space="preserve">Calorie reformulation: a systematic review and meta-analysis examining the effect of manipulating food energy density on daily energy intake. </w:t>
      </w:r>
      <w:r w:rsidRPr="00996E67">
        <w:rPr>
          <w:rFonts w:ascii="Times New Roman" w:hAnsi="Times New Roman" w:cs="Times New Roman"/>
          <w:i/>
          <w:iCs/>
          <w:sz w:val="20"/>
          <w:szCs w:val="20"/>
        </w:rPr>
        <w:t>International Journal of Behavioral Nutrition and Physical Activity, 19</w:t>
      </w:r>
      <w:r w:rsidRPr="00996E67">
        <w:rPr>
          <w:rFonts w:ascii="Times New Roman" w:hAnsi="Times New Roman" w:cs="Times New Roman"/>
          <w:sz w:val="20"/>
          <w:szCs w:val="20"/>
        </w:rPr>
        <w:t xml:space="preserve">, 48. </w:t>
      </w:r>
      <w:hyperlink r:id="rId43" w:tgtFrame="_new" w:history="1">
        <w:r w:rsidRPr="00996E67">
          <w:rPr>
            <w:rFonts w:ascii="Times New Roman" w:hAnsi="Times New Roman" w:cs="Times New Roman"/>
            <w:color w:val="0000FF"/>
            <w:sz w:val="20"/>
            <w:szCs w:val="20"/>
            <w:u w:val="single"/>
          </w:rPr>
          <w:t>https://doi.org/10.1186/s12966-022-01287-z</w:t>
        </w:r>
      </w:hyperlink>
    </w:p>
    <w:p w14:paraId="143BF561"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Rolls, B. J.</w:t>
      </w:r>
      <w:r w:rsidRPr="00996E67">
        <w:rPr>
          <w:rFonts w:ascii="Times New Roman" w:hAnsi="Times New Roman" w:cs="Times New Roman"/>
          <w:sz w:val="20"/>
          <w:szCs w:val="20"/>
        </w:rPr>
        <w:t xml:space="preserve"> (2017). Dietary energy density: Applying behavioural science to weight management. </w:t>
      </w:r>
      <w:r w:rsidRPr="00996E67">
        <w:rPr>
          <w:rFonts w:ascii="Times New Roman" w:hAnsi="Times New Roman" w:cs="Times New Roman"/>
          <w:i/>
          <w:iCs/>
          <w:sz w:val="20"/>
          <w:szCs w:val="20"/>
        </w:rPr>
        <w:t>Nutrition Bulletin, 42</w:t>
      </w:r>
      <w:r w:rsidRPr="00996E67">
        <w:rPr>
          <w:rFonts w:ascii="Times New Roman" w:hAnsi="Times New Roman" w:cs="Times New Roman"/>
          <w:sz w:val="20"/>
          <w:szCs w:val="20"/>
        </w:rPr>
        <w:t>(3), 246–253. https://doi.org/10.1111/nbu.12280</w:t>
      </w:r>
    </w:p>
    <w:p w14:paraId="5B413FD0"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Romieu, I., Dossus, L., Barquera, S., Blottière, H. M., Franks, P. W., Gunter, M., Hwalla, N., Hursting, S. D., Leitzmann, M., Margetts, B., Nishida, C., Potischman, N., Seidell, J., Stepien, M., Wang, Y., Westerp, K., Winichagoon, P., Wiseman, M., &amp; Willett, W. C.</w:t>
      </w:r>
      <w:r w:rsidRPr="00996E67">
        <w:rPr>
          <w:rFonts w:ascii="Times New Roman" w:hAnsi="Times New Roman" w:cs="Times New Roman"/>
          <w:sz w:val="20"/>
          <w:szCs w:val="20"/>
        </w:rPr>
        <w:t xml:space="preserve"> (2017). Energy balance and obesity: What are the main drivers? </w:t>
      </w:r>
      <w:r w:rsidRPr="00996E67">
        <w:rPr>
          <w:rFonts w:ascii="Times New Roman" w:hAnsi="Times New Roman" w:cs="Times New Roman"/>
          <w:i/>
          <w:iCs/>
          <w:sz w:val="20"/>
          <w:szCs w:val="20"/>
        </w:rPr>
        <w:t>Cancer Causes &amp; Control, 28</w:t>
      </w:r>
      <w:r w:rsidRPr="00996E67">
        <w:rPr>
          <w:rFonts w:ascii="Times New Roman" w:hAnsi="Times New Roman" w:cs="Times New Roman"/>
          <w:sz w:val="20"/>
          <w:szCs w:val="20"/>
        </w:rPr>
        <w:t xml:space="preserve">, 247–258. </w:t>
      </w:r>
      <w:hyperlink r:id="rId44" w:tgtFrame="_new" w:history="1">
        <w:r w:rsidRPr="00996E67">
          <w:rPr>
            <w:rFonts w:ascii="Times New Roman" w:hAnsi="Times New Roman" w:cs="Times New Roman"/>
            <w:color w:val="0000FF"/>
            <w:sz w:val="20"/>
            <w:szCs w:val="20"/>
            <w:u w:val="single"/>
          </w:rPr>
          <w:t>https://doi.org/10.1007/s10552-017-0869-z</w:t>
        </w:r>
      </w:hyperlink>
    </w:p>
    <w:p w14:paraId="7139E387"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lang w:val="es-ES"/>
        </w:rPr>
        <w:t>Scapin, T., Romaniuk, H., Feeley, A., Corrêa, K. P., Kupka, R., Gomez-Donoso, C., Orellana, L., Gupta, A., Sacks, G., &amp; Cameron, A. J.</w:t>
      </w:r>
      <w:r w:rsidRPr="00996E67">
        <w:rPr>
          <w:rFonts w:ascii="Times New Roman" w:hAnsi="Times New Roman" w:cs="Times New Roman"/>
          <w:sz w:val="20"/>
          <w:szCs w:val="20"/>
          <w:lang w:val="es-ES"/>
        </w:rPr>
        <w:t xml:space="preserve"> (2025). </w:t>
      </w:r>
      <w:r w:rsidRPr="00996E67">
        <w:rPr>
          <w:rFonts w:ascii="Times New Roman" w:hAnsi="Times New Roman" w:cs="Times New Roman"/>
          <w:sz w:val="20"/>
          <w:szCs w:val="20"/>
        </w:rPr>
        <w:t xml:space="preserve">Global food retail environments and obesity. </w:t>
      </w:r>
      <w:r w:rsidRPr="00996E67">
        <w:rPr>
          <w:rFonts w:ascii="Times New Roman" w:hAnsi="Times New Roman" w:cs="Times New Roman"/>
          <w:i/>
          <w:iCs/>
          <w:sz w:val="20"/>
          <w:szCs w:val="20"/>
        </w:rPr>
        <w:t>Nature Food, 6</w:t>
      </w:r>
      <w:r w:rsidRPr="00996E67">
        <w:rPr>
          <w:rFonts w:ascii="Times New Roman" w:hAnsi="Times New Roman" w:cs="Times New Roman"/>
          <w:sz w:val="20"/>
          <w:szCs w:val="20"/>
        </w:rPr>
        <w:t xml:space="preserve">(3), 283–295. </w:t>
      </w:r>
      <w:hyperlink r:id="rId45" w:tgtFrame="_new" w:history="1">
        <w:r w:rsidRPr="00996E67">
          <w:rPr>
            <w:rFonts w:ascii="Times New Roman" w:hAnsi="Times New Roman" w:cs="Times New Roman"/>
            <w:color w:val="0000FF"/>
            <w:sz w:val="20"/>
            <w:szCs w:val="20"/>
            <w:u w:val="single"/>
          </w:rPr>
          <w:t>https://doi.org/10.1038/s43016-025-01134-x</w:t>
        </w:r>
      </w:hyperlink>
    </w:p>
    <w:p w14:paraId="54DAB17F"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Stribiţcaia, E., Evans, C. E. L., Gibbons, C., Blundell, J., &amp; Sarkar, A.</w:t>
      </w:r>
      <w:r w:rsidRPr="00996E67">
        <w:rPr>
          <w:rFonts w:ascii="Times New Roman" w:hAnsi="Times New Roman" w:cs="Times New Roman"/>
          <w:sz w:val="20"/>
          <w:szCs w:val="20"/>
        </w:rPr>
        <w:t xml:space="preserve"> (2020). Food texture influences on satiety: Systematic review and meta-analysis. </w:t>
      </w:r>
      <w:r w:rsidRPr="00996E67">
        <w:rPr>
          <w:rFonts w:ascii="Times New Roman" w:hAnsi="Times New Roman" w:cs="Times New Roman"/>
          <w:i/>
          <w:iCs/>
          <w:sz w:val="20"/>
          <w:szCs w:val="20"/>
        </w:rPr>
        <w:t>Scientific Reports, 10</w:t>
      </w:r>
      <w:r w:rsidRPr="00996E67">
        <w:rPr>
          <w:rFonts w:ascii="Times New Roman" w:hAnsi="Times New Roman" w:cs="Times New Roman"/>
          <w:sz w:val="20"/>
          <w:szCs w:val="20"/>
        </w:rPr>
        <w:t xml:space="preserve">(1), 12929. </w:t>
      </w:r>
      <w:hyperlink r:id="rId46" w:tgtFrame="_new" w:history="1">
        <w:r w:rsidRPr="00996E67">
          <w:rPr>
            <w:rFonts w:ascii="Times New Roman" w:hAnsi="Times New Roman" w:cs="Times New Roman"/>
            <w:color w:val="0000FF"/>
            <w:sz w:val="20"/>
            <w:szCs w:val="20"/>
            <w:u w:val="single"/>
          </w:rPr>
          <w:t>https://doi.org/10.1038/s41598-020-69504-y</w:t>
        </w:r>
      </w:hyperlink>
    </w:p>
    <w:p w14:paraId="64D82DED"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Thomsen, R. W., Mailhac, A., Løhde, J. B., &amp; Pottegård, A.</w:t>
      </w:r>
      <w:r w:rsidRPr="00996E67">
        <w:rPr>
          <w:rFonts w:ascii="Times New Roman" w:hAnsi="Times New Roman" w:cs="Times New Roman"/>
          <w:sz w:val="20"/>
          <w:szCs w:val="20"/>
        </w:rPr>
        <w:t xml:space="preserve"> (2025). Real-world evidence on newer GLP-1RA-based weight-loss therapies. </w:t>
      </w:r>
      <w:r w:rsidRPr="00996E67">
        <w:rPr>
          <w:rFonts w:ascii="Times New Roman" w:hAnsi="Times New Roman" w:cs="Times New Roman"/>
          <w:i/>
          <w:iCs/>
          <w:sz w:val="20"/>
          <w:szCs w:val="20"/>
        </w:rPr>
        <w:t>Diabetes Obesity and Metabolism, 27</w:t>
      </w:r>
      <w:r w:rsidRPr="00996E67">
        <w:rPr>
          <w:rFonts w:ascii="Times New Roman" w:hAnsi="Times New Roman" w:cs="Times New Roman"/>
          <w:sz w:val="20"/>
          <w:szCs w:val="20"/>
        </w:rPr>
        <w:t xml:space="preserve">(S2), 66–88. </w:t>
      </w:r>
      <w:hyperlink r:id="rId47" w:tgtFrame="_new" w:history="1">
        <w:r w:rsidRPr="00996E67">
          <w:rPr>
            <w:rFonts w:ascii="Times New Roman" w:hAnsi="Times New Roman" w:cs="Times New Roman"/>
            <w:color w:val="0000FF"/>
            <w:sz w:val="20"/>
            <w:szCs w:val="20"/>
            <w:u w:val="single"/>
          </w:rPr>
          <w:t>https://doi.org/10.1111/dom.16364</w:t>
        </w:r>
      </w:hyperlink>
    </w:p>
    <w:p w14:paraId="5466C04D"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Watson, A. W., Brooks, A., Moore, L., Barley, S., &amp; Holliday, A.</w:t>
      </w:r>
      <w:r w:rsidRPr="00996E67">
        <w:rPr>
          <w:rFonts w:ascii="Times New Roman" w:hAnsi="Times New Roman" w:cs="Times New Roman"/>
          <w:sz w:val="20"/>
          <w:szCs w:val="20"/>
        </w:rPr>
        <w:t xml:space="preserve"> (2025). Effects of consuming different dietary protein sources at breakfast. </w:t>
      </w:r>
      <w:r w:rsidRPr="00996E67">
        <w:rPr>
          <w:rFonts w:ascii="Times New Roman" w:hAnsi="Times New Roman" w:cs="Times New Roman"/>
          <w:i/>
          <w:iCs/>
          <w:sz w:val="20"/>
          <w:szCs w:val="20"/>
        </w:rPr>
        <w:t>European Journal of Nutrition, 64</w:t>
      </w:r>
      <w:r w:rsidRPr="00996E67">
        <w:rPr>
          <w:rFonts w:ascii="Times New Roman" w:hAnsi="Times New Roman" w:cs="Times New Roman"/>
          <w:sz w:val="20"/>
          <w:szCs w:val="20"/>
        </w:rPr>
        <w:t xml:space="preserve">(8), 315. </w:t>
      </w:r>
      <w:hyperlink r:id="rId48" w:tgtFrame="_new" w:history="1">
        <w:r w:rsidRPr="00996E67">
          <w:rPr>
            <w:rFonts w:ascii="Times New Roman" w:hAnsi="Times New Roman" w:cs="Times New Roman"/>
            <w:color w:val="0000FF"/>
            <w:sz w:val="20"/>
            <w:szCs w:val="20"/>
            <w:u w:val="single"/>
          </w:rPr>
          <w:t>https://doi.org/10.1007/s00394-025-03839-y</w:t>
        </w:r>
      </w:hyperlink>
    </w:p>
    <w:p w14:paraId="04EC36B3"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Wen, J., How-Volkman, C., Truong, A., Nadora, D., Bernstein, E. M., Akhtar, M., Puglisi, J., &amp; Frezza, E.</w:t>
      </w:r>
      <w:r w:rsidRPr="00996E67">
        <w:rPr>
          <w:rFonts w:ascii="Times New Roman" w:hAnsi="Times New Roman" w:cs="Times New Roman"/>
          <w:sz w:val="20"/>
          <w:szCs w:val="20"/>
        </w:rPr>
        <w:t xml:space="preserve"> (2024). Comparative Efficacy of Semaglutide Versus Liraglutide or Efinopegdutide on Weight Loss in Obese Patients: A Systematic Review and Meta-Analysis. </w:t>
      </w:r>
      <w:r w:rsidRPr="00996E67">
        <w:rPr>
          <w:rFonts w:ascii="Times New Roman" w:hAnsi="Times New Roman" w:cs="Times New Roman"/>
          <w:i/>
          <w:iCs/>
          <w:sz w:val="20"/>
          <w:szCs w:val="20"/>
        </w:rPr>
        <w:t>Cureus, 16</w:t>
      </w:r>
      <w:r w:rsidRPr="00996E67">
        <w:rPr>
          <w:rFonts w:ascii="Times New Roman" w:hAnsi="Times New Roman" w:cs="Times New Roman"/>
          <w:sz w:val="20"/>
          <w:szCs w:val="20"/>
        </w:rPr>
        <w:t xml:space="preserve">(12), e75304. </w:t>
      </w:r>
      <w:hyperlink r:id="rId49" w:tgtFrame="_new" w:history="1">
        <w:r w:rsidRPr="00996E67">
          <w:rPr>
            <w:rFonts w:ascii="Times New Roman" w:hAnsi="Times New Roman" w:cs="Times New Roman"/>
            <w:color w:val="0000FF"/>
            <w:sz w:val="20"/>
            <w:szCs w:val="20"/>
            <w:u w:val="single"/>
          </w:rPr>
          <w:t>https://doi.org/10.7759/cureus.75304</w:t>
        </w:r>
      </w:hyperlink>
    </w:p>
    <w:p w14:paraId="74FB13A4"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Wilbon, S. S., &amp; Kolonin, M. G.</w:t>
      </w:r>
      <w:r w:rsidRPr="00996E67">
        <w:rPr>
          <w:rFonts w:ascii="Times New Roman" w:hAnsi="Times New Roman" w:cs="Times New Roman"/>
          <w:sz w:val="20"/>
          <w:szCs w:val="20"/>
        </w:rPr>
        <w:t xml:space="preserve"> (2023). GLP-1 receptor agonists — Effects beyond obesity and diabetes. </w:t>
      </w:r>
      <w:r w:rsidRPr="00996E67">
        <w:rPr>
          <w:rFonts w:ascii="Times New Roman" w:hAnsi="Times New Roman" w:cs="Times New Roman"/>
          <w:i/>
          <w:iCs/>
          <w:sz w:val="20"/>
          <w:szCs w:val="20"/>
        </w:rPr>
        <w:t>Cells, 13</w:t>
      </w:r>
      <w:r w:rsidRPr="00996E67">
        <w:rPr>
          <w:rFonts w:ascii="Times New Roman" w:hAnsi="Times New Roman" w:cs="Times New Roman"/>
          <w:sz w:val="20"/>
          <w:szCs w:val="20"/>
        </w:rPr>
        <w:t xml:space="preserve">(1), 65. </w:t>
      </w:r>
      <w:hyperlink r:id="rId50" w:tgtFrame="_new" w:history="1">
        <w:r w:rsidRPr="00996E67">
          <w:rPr>
            <w:rFonts w:ascii="Times New Roman" w:hAnsi="Times New Roman" w:cs="Times New Roman"/>
            <w:color w:val="0000FF"/>
            <w:sz w:val="20"/>
            <w:szCs w:val="20"/>
            <w:u w:val="single"/>
          </w:rPr>
          <w:t>https://doi.org/10.3390/cells13010065</w:t>
        </w:r>
      </w:hyperlink>
    </w:p>
    <w:p w14:paraId="5F2D77A2"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Wu, S., Jia, W., He, H., Yin, J., Xu, H., He, C., Zhang, Q., Peng, Y., &amp; Cheng, R.</w:t>
      </w:r>
      <w:r w:rsidRPr="00996E67">
        <w:rPr>
          <w:rFonts w:ascii="Times New Roman" w:hAnsi="Times New Roman" w:cs="Times New Roman"/>
          <w:sz w:val="20"/>
          <w:szCs w:val="20"/>
        </w:rPr>
        <w:t xml:space="preserve"> (2023). A New Dietary Fiber Can Enhance Satiety and Reduce Postprandial Blood Glucose in Healthy Adults: A Randomized Cross-Over Trial. </w:t>
      </w:r>
      <w:r w:rsidRPr="00996E67">
        <w:rPr>
          <w:rFonts w:ascii="Times New Roman" w:hAnsi="Times New Roman" w:cs="Times New Roman"/>
          <w:i/>
          <w:iCs/>
          <w:sz w:val="20"/>
          <w:szCs w:val="20"/>
        </w:rPr>
        <w:t>Nutrients, 15</w:t>
      </w:r>
      <w:r w:rsidRPr="00996E67">
        <w:rPr>
          <w:rFonts w:ascii="Times New Roman" w:hAnsi="Times New Roman" w:cs="Times New Roman"/>
          <w:sz w:val="20"/>
          <w:szCs w:val="20"/>
        </w:rPr>
        <w:t xml:space="preserve">(21), 4569. </w:t>
      </w:r>
      <w:hyperlink r:id="rId51" w:tgtFrame="_new" w:history="1">
        <w:r w:rsidRPr="00996E67">
          <w:rPr>
            <w:rFonts w:ascii="Times New Roman" w:hAnsi="Times New Roman" w:cs="Times New Roman"/>
            <w:color w:val="0000FF"/>
            <w:sz w:val="20"/>
            <w:szCs w:val="20"/>
            <w:u w:val="single"/>
          </w:rPr>
          <w:t>https://doi.org/10.3390/nu15214569</w:t>
        </w:r>
      </w:hyperlink>
    </w:p>
    <w:p w14:paraId="6E5361D5" w14:textId="77777777" w:rsidR="00FF4F3A" w:rsidRPr="00996E67" w:rsidRDefault="00FF4F3A" w:rsidP="00996E67">
      <w:pPr>
        <w:pStyle w:val="ListParagraph"/>
        <w:numPr>
          <w:ilvl w:val="0"/>
          <w:numId w:val="4"/>
        </w:numPr>
        <w:jc w:val="both"/>
        <w:rPr>
          <w:rFonts w:ascii="Times New Roman" w:hAnsi="Times New Roman" w:cs="Times New Roman"/>
          <w:sz w:val="20"/>
          <w:szCs w:val="20"/>
        </w:rPr>
      </w:pPr>
      <w:r w:rsidRPr="00996E67">
        <w:rPr>
          <w:rFonts w:ascii="Times New Roman" w:hAnsi="Times New Roman" w:cs="Times New Roman"/>
          <w:b/>
          <w:bCs/>
          <w:sz w:val="20"/>
          <w:szCs w:val="20"/>
        </w:rPr>
        <w:t>Zheng, Z., Zong, Y., Ma, Y., Tian, Y., Pang, Y., Zhang, C., &amp; Gao, J.</w:t>
      </w:r>
      <w:r w:rsidRPr="00996E67">
        <w:rPr>
          <w:rFonts w:ascii="Times New Roman" w:hAnsi="Times New Roman" w:cs="Times New Roman"/>
          <w:sz w:val="20"/>
          <w:szCs w:val="20"/>
        </w:rPr>
        <w:t xml:space="preserve"> (2024). Glucagon-like peptide-1 receptor: Mechanisms and advances in therapy. </w:t>
      </w:r>
      <w:r w:rsidRPr="00996E67">
        <w:rPr>
          <w:rFonts w:ascii="Times New Roman" w:hAnsi="Times New Roman" w:cs="Times New Roman"/>
          <w:i/>
          <w:iCs/>
          <w:sz w:val="20"/>
          <w:szCs w:val="20"/>
        </w:rPr>
        <w:t>Signal Transduction and Targeted Therapy, 9</w:t>
      </w:r>
      <w:r w:rsidRPr="00996E67">
        <w:rPr>
          <w:rFonts w:ascii="Times New Roman" w:hAnsi="Times New Roman" w:cs="Times New Roman"/>
          <w:sz w:val="20"/>
          <w:szCs w:val="20"/>
        </w:rPr>
        <w:t xml:space="preserve">(1), 234. </w:t>
      </w:r>
      <w:hyperlink r:id="rId52" w:tgtFrame="_new" w:history="1">
        <w:r w:rsidRPr="00996E67">
          <w:rPr>
            <w:rFonts w:ascii="Times New Roman" w:hAnsi="Times New Roman" w:cs="Times New Roman"/>
            <w:color w:val="0000FF"/>
            <w:sz w:val="20"/>
            <w:szCs w:val="20"/>
            <w:u w:val="single"/>
          </w:rPr>
          <w:t>https://doi.org/10.1038/s41392-024-01931-z</w:t>
        </w:r>
      </w:hyperlink>
    </w:p>
    <w:p w14:paraId="0FDD1C5F" w14:textId="77777777" w:rsidR="00FF4F3A" w:rsidRPr="00996E67" w:rsidRDefault="00FF4F3A" w:rsidP="00996E67">
      <w:pPr>
        <w:jc w:val="both"/>
        <w:rPr>
          <w:rFonts w:ascii="Times New Roman" w:eastAsia="Aptos" w:hAnsi="Times New Roman" w:cs="Times New Roman"/>
          <w:sz w:val="20"/>
          <w:szCs w:val="20"/>
        </w:rPr>
      </w:pPr>
    </w:p>
    <w:p w14:paraId="309622E2" w14:textId="77777777" w:rsidR="00FF4F3A" w:rsidRPr="00996E67" w:rsidRDefault="00FF4F3A" w:rsidP="00996E67">
      <w:pPr>
        <w:jc w:val="both"/>
        <w:rPr>
          <w:rFonts w:ascii="Times New Roman" w:eastAsia="Aptos" w:hAnsi="Times New Roman" w:cs="Times New Roman"/>
          <w:sz w:val="20"/>
          <w:szCs w:val="20"/>
        </w:rPr>
      </w:pPr>
    </w:p>
    <w:p w14:paraId="0AC4FEB0" w14:textId="77777777" w:rsidR="00FF4F3A" w:rsidRPr="00996E67" w:rsidRDefault="00FF4F3A" w:rsidP="00996E67">
      <w:pPr>
        <w:jc w:val="both"/>
        <w:rPr>
          <w:rFonts w:ascii="Times New Roman" w:eastAsia="Aptos" w:hAnsi="Times New Roman" w:cs="Times New Roman"/>
          <w:sz w:val="20"/>
          <w:szCs w:val="20"/>
        </w:rPr>
      </w:pPr>
    </w:p>
    <w:p w14:paraId="2CA935E5" w14:textId="426B5D76" w:rsidR="00C715CB" w:rsidRPr="00996E67" w:rsidRDefault="00C715CB" w:rsidP="00996E67">
      <w:pPr>
        <w:jc w:val="both"/>
        <w:rPr>
          <w:rFonts w:ascii="Times New Roman" w:hAnsi="Times New Roman" w:cs="Times New Roman"/>
          <w:b/>
          <w:bCs/>
          <w:sz w:val="20"/>
          <w:szCs w:val="20"/>
        </w:rPr>
      </w:pPr>
    </w:p>
    <w:p w14:paraId="088960F6" w14:textId="77777777" w:rsidR="00FF4F3A" w:rsidRPr="00996E67" w:rsidRDefault="00FF4F3A" w:rsidP="00996E67">
      <w:pPr>
        <w:jc w:val="both"/>
        <w:rPr>
          <w:rFonts w:ascii="Times New Roman" w:hAnsi="Times New Roman" w:cs="Times New Roman"/>
          <w:b/>
          <w:bCs/>
          <w:sz w:val="20"/>
          <w:szCs w:val="20"/>
        </w:rPr>
      </w:pPr>
    </w:p>
    <w:sectPr w:rsidR="00FF4F3A" w:rsidRPr="00996E67" w:rsidSect="009C3368">
      <w:headerReference w:type="default" r:id="rId53"/>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7D7B8" w14:textId="77777777" w:rsidR="00371A35" w:rsidRDefault="00371A35" w:rsidP="00396993">
      <w:pPr>
        <w:spacing w:after="0" w:line="240" w:lineRule="auto"/>
      </w:pPr>
      <w:r>
        <w:separator/>
      </w:r>
    </w:p>
  </w:endnote>
  <w:endnote w:type="continuationSeparator" w:id="0">
    <w:p w14:paraId="74C25578" w14:textId="77777777" w:rsidR="00371A35" w:rsidRDefault="00371A35" w:rsidP="00396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DCD6C" w14:textId="7ABDE453" w:rsidR="007A7523" w:rsidRPr="007A7523" w:rsidRDefault="007A7523" w:rsidP="007A7523">
    <w:pPr>
      <w:pStyle w:val="Footer"/>
      <w:pBdr>
        <w:top w:val="single" w:sz="4" w:space="1" w:color="auto"/>
      </w:pBdr>
      <w:rPr>
        <w:rFonts w:ascii="Times New Roman" w:hAnsi="Times New Roman" w:cs="Times New Roman"/>
        <w:sz w:val="20"/>
        <w:szCs w:val="20"/>
      </w:rPr>
    </w:pPr>
    <w:r w:rsidRPr="007A7523">
      <w:rPr>
        <w:rFonts w:ascii="Times New Roman" w:hAnsi="Times New Roman" w:cs="Times New Roman"/>
        <w:i/>
        <w:iCs/>
        <w:sz w:val="20"/>
        <w:szCs w:val="20"/>
      </w:rPr>
      <w:t>Adeseye Lasekan &amp; Onyekachi Stephanie Oparah</w:t>
    </w:r>
    <w:r w:rsidR="009C3368" w:rsidRPr="007A7523">
      <w:rPr>
        <w:rFonts w:ascii="Times New Roman" w:hAnsi="Times New Roman" w:cs="Times New Roman"/>
        <w:sz w:val="20"/>
        <w:szCs w:val="20"/>
      </w:rPr>
      <w:t xml:space="preserve">                                                                                       </w:t>
    </w:r>
    <w:sdt>
      <w:sdtPr>
        <w:rPr>
          <w:rFonts w:ascii="Times New Roman" w:hAnsi="Times New Roman" w:cs="Times New Roman"/>
          <w:sz w:val="20"/>
          <w:szCs w:val="20"/>
        </w:rPr>
        <w:id w:val="1030620611"/>
        <w:docPartObj>
          <w:docPartGallery w:val="Page Numbers (Bottom of Page)"/>
          <w:docPartUnique/>
        </w:docPartObj>
      </w:sdtPr>
      <w:sdtEndPr>
        <w:rPr>
          <w:color w:val="7F7F7F" w:themeColor="background1" w:themeShade="7F"/>
          <w:spacing w:val="60"/>
        </w:rPr>
      </w:sdtEndPr>
      <w:sdtContent>
        <w:r w:rsidRPr="007A7523">
          <w:rPr>
            <w:rFonts w:ascii="Times New Roman" w:hAnsi="Times New Roman" w:cs="Times New Roman"/>
            <w:sz w:val="20"/>
            <w:szCs w:val="20"/>
          </w:rPr>
          <w:fldChar w:fldCharType="begin"/>
        </w:r>
        <w:r w:rsidRPr="007A7523">
          <w:rPr>
            <w:rFonts w:ascii="Times New Roman" w:hAnsi="Times New Roman" w:cs="Times New Roman"/>
            <w:sz w:val="20"/>
            <w:szCs w:val="20"/>
          </w:rPr>
          <w:instrText xml:space="preserve"> PAGE   \* MERGEFORMAT </w:instrText>
        </w:r>
        <w:r w:rsidRPr="007A7523">
          <w:rPr>
            <w:rFonts w:ascii="Times New Roman" w:hAnsi="Times New Roman" w:cs="Times New Roman"/>
            <w:sz w:val="20"/>
            <w:szCs w:val="20"/>
          </w:rPr>
          <w:fldChar w:fldCharType="separate"/>
        </w:r>
        <w:r>
          <w:rPr>
            <w:rFonts w:ascii="Times New Roman" w:hAnsi="Times New Roman" w:cs="Times New Roman"/>
            <w:sz w:val="20"/>
            <w:szCs w:val="20"/>
          </w:rPr>
          <w:t>1</w:t>
        </w:r>
        <w:r w:rsidRPr="007A7523">
          <w:rPr>
            <w:rFonts w:ascii="Times New Roman" w:hAnsi="Times New Roman" w:cs="Times New Roman"/>
            <w:noProof/>
            <w:sz w:val="20"/>
            <w:szCs w:val="20"/>
          </w:rPr>
          <w:fldChar w:fldCharType="end"/>
        </w:r>
        <w:r w:rsidRPr="007A7523">
          <w:rPr>
            <w:rFonts w:ascii="Times New Roman" w:hAnsi="Times New Roman" w:cs="Times New Roman"/>
            <w:sz w:val="20"/>
            <w:szCs w:val="20"/>
          </w:rPr>
          <w:t xml:space="preserve"> | </w:t>
        </w:r>
        <w:r w:rsidRPr="007A7523">
          <w:rPr>
            <w:rFonts w:ascii="Times New Roman" w:hAnsi="Times New Roman" w:cs="Times New Roman"/>
            <w:color w:val="7F7F7F" w:themeColor="background1" w:themeShade="7F"/>
            <w:spacing w:val="60"/>
            <w:sz w:val="20"/>
            <w:szCs w:val="20"/>
          </w:rPr>
          <w:t>Page</w:t>
        </w:r>
      </w:sdtContent>
    </w:sdt>
  </w:p>
  <w:p w14:paraId="32149048" w14:textId="29E2ECD8" w:rsidR="009C3368" w:rsidRPr="007A7523" w:rsidRDefault="009C3368" w:rsidP="007A7523">
    <w:pPr>
      <w:pStyle w:val="Footer"/>
      <w:pBdr>
        <w:top w:val="single" w:sz="4" w:space="1" w:color="auto"/>
      </w:pBdr>
      <w:rPr>
        <w:rFonts w:ascii="Times New Roman" w:hAnsi="Times New Roman" w:cs="Times New Roman"/>
        <w:sz w:val="20"/>
        <w:szCs w:val="20"/>
      </w:rPr>
    </w:pPr>
    <w:r w:rsidRPr="007A7523">
      <w:rPr>
        <w:rFonts w:ascii="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78BBF" w14:textId="77777777" w:rsidR="00371A35" w:rsidRDefault="00371A35" w:rsidP="00396993">
      <w:pPr>
        <w:spacing w:after="0" w:line="240" w:lineRule="auto"/>
      </w:pPr>
      <w:r>
        <w:separator/>
      </w:r>
    </w:p>
  </w:footnote>
  <w:footnote w:type="continuationSeparator" w:id="0">
    <w:p w14:paraId="53B97774" w14:textId="77777777" w:rsidR="00371A35" w:rsidRDefault="00371A35" w:rsidP="00396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4CEA" w14:textId="559D3DD5" w:rsidR="00A7509D" w:rsidRPr="00C715CB" w:rsidRDefault="003B3C21" w:rsidP="00C715CB">
    <w:pPr>
      <w:pStyle w:val="Header"/>
      <w:rPr>
        <w:b/>
        <w:bCs/>
        <w:sz w:val="20"/>
        <w:szCs w:val="20"/>
      </w:rPr>
    </w:pPr>
    <w:r w:rsidRPr="00C715CB">
      <w:rPr>
        <w:b/>
        <w:bCs/>
        <w:noProof/>
        <w:sz w:val="20"/>
        <w:szCs w:val="20"/>
      </w:rPr>
      <w:drawing>
        <wp:anchor distT="0" distB="0" distL="114300" distR="114300" simplePos="0" relativeHeight="251658240" behindDoc="0" locked="0" layoutInCell="1" allowOverlap="1" wp14:anchorId="7011EBBA" wp14:editId="105C733C">
          <wp:simplePos x="0" y="0"/>
          <wp:positionH relativeFrom="margin">
            <wp:posOffset>-635</wp:posOffset>
          </wp:positionH>
          <wp:positionV relativeFrom="margin">
            <wp:posOffset>-653415</wp:posOffset>
          </wp:positionV>
          <wp:extent cx="774065" cy="473710"/>
          <wp:effectExtent l="0" t="0" r="6985" b="2540"/>
          <wp:wrapSquare wrapText="bothSides"/>
          <wp:docPr id="756569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 cy="47371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 w:history="1"/>
    <w:r w:rsidR="007D388C" w:rsidRPr="007A7523">
      <w:rPr>
        <w:b/>
        <w:bCs/>
        <w:color w:val="000000" w:themeColor="text1"/>
        <w:sz w:val="20"/>
        <w:szCs w:val="20"/>
      </w:rPr>
      <w:t>Global Perspective in Food Science and Innovation</w:t>
    </w:r>
    <w:r w:rsidR="001E32E5">
      <w:rPr>
        <w:b/>
        <w:bCs/>
        <w:sz w:val="20"/>
        <w:szCs w:val="20"/>
      </w:rPr>
      <w:t xml:space="preserve">, </w:t>
    </w:r>
    <w:r w:rsidR="00C715CB" w:rsidRPr="00C715CB">
      <w:rPr>
        <w:b/>
        <w:bCs/>
        <w:sz w:val="20"/>
        <w:szCs w:val="20"/>
      </w:rPr>
      <w:t>Volume 1, Issue 1,</w:t>
    </w:r>
    <w:r w:rsidR="007A7523">
      <w:rPr>
        <w:b/>
        <w:bCs/>
        <w:sz w:val="20"/>
        <w:szCs w:val="20"/>
      </w:rPr>
      <w:t xml:space="preserve"> pp. 1-1</w:t>
    </w:r>
    <w:r w:rsidR="00996E67">
      <w:rPr>
        <w:b/>
        <w:bCs/>
        <w:sz w:val="20"/>
        <w:szCs w:val="20"/>
      </w:rPr>
      <w:t>8</w:t>
    </w:r>
    <w:r w:rsidR="007A7523">
      <w:rPr>
        <w:b/>
        <w:bCs/>
        <w:sz w:val="20"/>
        <w:szCs w:val="20"/>
      </w:rPr>
      <w:t xml:space="preserve">, December </w:t>
    </w:r>
    <w:r w:rsidRPr="00C715CB">
      <w:rPr>
        <w:b/>
        <w:bCs/>
        <w:sz w:val="20"/>
        <w:szCs w:val="20"/>
      </w:rPr>
      <w:t>2025.</w:t>
    </w:r>
  </w:p>
  <w:p w14:paraId="29600BCC" w14:textId="0011BB3D" w:rsidR="00396993" w:rsidRPr="00A7509D" w:rsidRDefault="00396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E05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D897ED9"/>
    <w:multiLevelType w:val="multilevel"/>
    <w:tmpl w:val="57E684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6782E28"/>
    <w:multiLevelType w:val="hybridMultilevel"/>
    <w:tmpl w:val="D53A9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997551"/>
    <w:multiLevelType w:val="hybridMultilevel"/>
    <w:tmpl w:val="9E521FA2"/>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993"/>
    <w:rsid w:val="00062A70"/>
    <w:rsid w:val="000C767F"/>
    <w:rsid w:val="00176BEF"/>
    <w:rsid w:val="001917BF"/>
    <w:rsid w:val="001A2078"/>
    <w:rsid w:val="001E32E5"/>
    <w:rsid w:val="00277B15"/>
    <w:rsid w:val="002E1C25"/>
    <w:rsid w:val="00371A35"/>
    <w:rsid w:val="0038476C"/>
    <w:rsid w:val="00396993"/>
    <w:rsid w:val="003B3C21"/>
    <w:rsid w:val="003B4F16"/>
    <w:rsid w:val="004B5E16"/>
    <w:rsid w:val="00570284"/>
    <w:rsid w:val="005948EC"/>
    <w:rsid w:val="005C2F0B"/>
    <w:rsid w:val="0073020F"/>
    <w:rsid w:val="007312A6"/>
    <w:rsid w:val="007A7523"/>
    <w:rsid w:val="007D388C"/>
    <w:rsid w:val="00867D31"/>
    <w:rsid w:val="008921AC"/>
    <w:rsid w:val="008948D3"/>
    <w:rsid w:val="008E5053"/>
    <w:rsid w:val="00996E67"/>
    <w:rsid w:val="009C3368"/>
    <w:rsid w:val="00A7509D"/>
    <w:rsid w:val="00A97464"/>
    <w:rsid w:val="00AA212E"/>
    <w:rsid w:val="00AC404F"/>
    <w:rsid w:val="00AC755A"/>
    <w:rsid w:val="00AC7665"/>
    <w:rsid w:val="00AD14F9"/>
    <w:rsid w:val="00B47F99"/>
    <w:rsid w:val="00B84903"/>
    <w:rsid w:val="00BB2195"/>
    <w:rsid w:val="00BF02A6"/>
    <w:rsid w:val="00C2639B"/>
    <w:rsid w:val="00C43C88"/>
    <w:rsid w:val="00C55FD5"/>
    <w:rsid w:val="00C715CB"/>
    <w:rsid w:val="00D86FEF"/>
    <w:rsid w:val="00DA663C"/>
    <w:rsid w:val="00ED7F7D"/>
    <w:rsid w:val="00F10FEE"/>
    <w:rsid w:val="00F778B2"/>
    <w:rsid w:val="00F8269D"/>
    <w:rsid w:val="00FA7069"/>
    <w:rsid w:val="00FD60C3"/>
    <w:rsid w:val="00FF4F3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ACA68"/>
  <w15:chartTrackingRefBased/>
  <w15:docId w15:val="{6A1B2609-5C49-4A34-94F6-CA31C32B1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9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69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69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69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69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69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9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9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9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9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69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69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69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69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6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993"/>
    <w:rPr>
      <w:rFonts w:eastAsiaTheme="majorEastAsia" w:cstheme="majorBidi"/>
      <w:color w:val="272727" w:themeColor="text1" w:themeTint="D8"/>
    </w:rPr>
  </w:style>
  <w:style w:type="paragraph" w:styleId="Title">
    <w:name w:val="Title"/>
    <w:basedOn w:val="Normal"/>
    <w:next w:val="Normal"/>
    <w:link w:val="TitleChar"/>
    <w:uiPriority w:val="10"/>
    <w:qFormat/>
    <w:rsid w:val="00396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993"/>
    <w:pPr>
      <w:spacing w:before="160"/>
      <w:jc w:val="center"/>
    </w:pPr>
    <w:rPr>
      <w:i/>
      <w:iCs/>
      <w:color w:val="404040" w:themeColor="text1" w:themeTint="BF"/>
    </w:rPr>
  </w:style>
  <w:style w:type="character" w:customStyle="1" w:styleId="QuoteChar">
    <w:name w:val="Quote Char"/>
    <w:basedOn w:val="DefaultParagraphFont"/>
    <w:link w:val="Quote"/>
    <w:uiPriority w:val="29"/>
    <w:rsid w:val="00396993"/>
    <w:rPr>
      <w:i/>
      <w:iCs/>
      <w:color w:val="404040" w:themeColor="text1" w:themeTint="BF"/>
    </w:rPr>
  </w:style>
  <w:style w:type="paragraph" w:styleId="ListParagraph">
    <w:name w:val="List Paragraph"/>
    <w:basedOn w:val="Normal"/>
    <w:uiPriority w:val="34"/>
    <w:qFormat/>
    <w:rsid w:val="00396993"/>
    <w:pPr>
      <w:ind w:left="720"/>
      <w:contextualSpacing/>
    </w:pPr>
  </w:style>
  <w:style w:type="character" w:styleId="IntenseEmphasis">
    <w:name w:val="Intense Emphasis"/>
    <w:basedOn w:val="DefaultParagraphFont"/>
    <w:uiPriority w:val="21"/>
    <w:qFormat/>
    <w:rsid w:val="00396993"/>
    <w:rPr>
      <w:i/>
      <w:iCs/>
      <w:color w:val="2F5496" w:themeColor="accent1" w:themeShade="BF"/>
    </w:rPr>
  </w:style>
  <w:style w:type="paragraph" w:styleId="IntenseQuote">
    <w:name w:val="Intense Quote"/>
    <w:basedOn w:val="Normal"/>
    <w:next w:val="Normal"/>
    <w:link w:val="IntenseQuoteChar"/>
    <w:uiPriority w:val="30"/>
    <w:qFormat/>
    <w:rsid w:val="003969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6993"/>
    <w:rPr>
      <w:i/>
      <w:iCs/>
      <w:color w:val="2F5496" w:themeColor="accent1" w:themeShade="BF"/>
    </w:rPr>
  </w:style>
  <w:style w:type="character" w:styleId="IntenseReference">
    <w:name w:val="Intense Reference"/>
    <w:basedOn w:val="DefaultParagraphFont"/>
    <w:uiPriority w:val="32"/>
    <w:qFormat/>
    <w:rsid w:val="00396993"/>
    <w:rPr>
      <w:b/>
      <w:bCs/>
      <w:smallCaps/>
      <w:color w:val="2F5496" w:themeColor="accent1" w:themeShade="BF"/>
      <w:spacing w:val="5"/>
    </w:rPr>
  </w:style>
  <w:style w:type="paragraph" w:styleId="Header">
    <w:name w:val="header"/>
    <w:basedOn w:val="Normal"/>
    <w:link w:val="HeaderChar"/>
    <w:uiPriority w:val="99"/>
    <w:unhideWhenUsed/>
    <w:rsid w:val="00396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993"/>
  </w:style>
  <w:style w:type="paragraph" w:styleId="Footer">
    <w:name w:val="footer"/>
    <w:basedOn w:val="Normal"/>
    <w:link w:val="FooterChar"/>
    <w:uiPriority w:val="99"/>
    <w:unhideWhenUsed/>
    <w:rsid w:val="00396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993"/>
  </w:style>
  <w:style w:type="character" w:styleId="Hyperlink">
    <w:name w:val="Hyperlink"/>
    <w:basedOn w:val="DefaultParagraphFont"/>
    <w:uiPriority w:val="99"/>
    <w:unhideWhenUsed/>
    <w:rsid w:val="00D86FEF"/>
    <w:rPr>
      <w:color w:val="0563C1" w:themeColor="hyperlink"/>
      <w:u w:val="single"/>
    </w:rPr>
  </w:style>
  <w:style w:type="character" w:styleId="UnresolvedMention">
    <w:name w:val="Unresolved Mention"/>
    <w:basedOn w:val="DefaultParagraphFont"/>
    <w:uiPriority w:val="99"/>
    <w:semiHidden/>
    <w:unhideWhenUsed/>
    <w:rsid w:val="00D86FEF"/>
    <w:rPr>
      <w:color w:val="605E5C"/>
      <w:shd w:val="clear" w:color="auto" w:fill="E1DFDD"/>
    </w:rPr>
  </w:style>
  <w:style w:type="paragraph" w:styleId="NoSpacing">
    <w:name w:val="No Spacing"/>
    <w:uiPriority w:val="1"/>
    <w:qFormat/>
    <w:rsid w:val="00996E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ueg2.70020" TargetMode="External"/><Relationship Id="rId18" Type="http://schemas.openxmlformats.org/officeDocument/2006/relationships/hyperlink" Target="https://doi.org/10.18553/jmcp.2025.31.2.179" TargetMode="External"/><Relationship Id="rId26" Type="http://schemas.openxmlformats.org/officeDocument/2006/relationships/hyperlink" Target="https://doi.org/10.1016/j.obpill.2025.100195" TargetMode="External"/><Relationship Id="rId39" Type="http://schemas.openxmlformats.org/officeDocument/2006/relationships/hyperlink" Target="https://doi.org/10.3390/nu13093200" TargetMode="External"/><Relationship Id="rId21" Type="http://schemas.openxmlformats.org/officeDocument/2006/relationships/hyperlink" Target="https://doi.org/10.3390/foods11233934" TargetMode="External"/><Relationship Id="rId34" Type="http://schemas.openxmlformats.org/officeDocument/2006/relationships/hyperlink" Target="https://doi.org/10.3390/nu17193150" TargetMode="External"/><Relationship Id="rId42" Type="http://schemas.openxmlformats.org/officeDocument/2006/relationships/hyperlink" Target="https://doi.org/10.1111/dom.70188" TargetMode="External"/><Relationship Id="rId47" Type="http://schemas.openxmlformats.org/officeDocument/2006/relationships/hyperlink" Target="https://doi.org/10.1111/dom.16364" TargetMode="External"/><Relationship Id="rId50" Type="http://schemas.openxmlformats.org/officeDocument/2006/relationships/hyperlink" Target="https://doi.org/10.3390/cells13010065" TargetMode="Externa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16/j.obpill.2024.100121" TargetMode="External"/><Relationship Id="rId29" Type="http://schemas.openxmlformats.org/officeDocument/2006/relationships/hyperlink" Target="https://doi.org/10.7759/cureus.94926" TargetMode="External"/><Relationship Id="rId11" Type="http://schemas.openxmlformats.org/officeDocument/2006/relationships/hyperlink" Target="https://doi.org/10.3389/fendo.2024.1412182" TargetMode="External"/><Relationship Id="rId24" Type="http://schemas.openxmlformats.org/officeDocument/2006/relationships/hyperlink" Target="https://doi.org/10.3390/foods10123052" TargetMode="External"/><Relationship Id="rId32" Type="http://schemas.openxmlformats.org/officeDocument/2006/relationships/hyperlink" Target="https://doi.org/10.2147/dmso.s539822" TargetMode="External"/><Relationship Id="rId37" Type="http://schemas.openxmlformats.org/officeDocument/2006/relationships/hyperlink" Target="https://doi.org/10.1080/21551197.2021.1896615" TargetMode="External"/><Relationship Id="rId40" Type="http://schemas.openxmlformats.org/officeDocument/2006/relationships/hyperlink" Target="https://doi.org/10.3310/skht8119" TargetMode="External"/><Relationship Id="rId45" Type="http://schemas.openxmlformats.org/officeDocument/2006/relationships/hyperlink" Target="https://doi.org/10.1038/s43016-025-01134-x" TargetMode="External"/><Relationship Id="rId53"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eseye.lasekan@gmail.com" TargetMode="External"/><Relationship Id="rId19" Type="http://schemas.openxmlformats.org/officeDocument/2006/relationships/hyperlink" Target="https://doi.org/10.3390/nu17162699" TargetMode="External"/><Relationship Id="rId31" Type="http://schemas.openxmlformats.org/officeDocument/2006/relationships/hyperlink" Target="https://doi.org/10.2147/dmso.s130834" TargetMode="External"/><Relationship Id="rId44" Type="http://schemas.openxmlformats.org/officeDocument/2006/relationships/hyperlink" Target="https://doi.org/10.1007/s10552-017-0869-z" TargetMode="External"/><Relationship Id="rId52" Type="http://schemas.openxmlformats.org/officeDocument/2006/relationships/hyperlink" Target="https://doi.org/10.1038/s41392-024-01931-z" TargetMode="External"/><Relationship Id="rId4" Type="http://schemas.openxmlformats.org/officeDocument/2006/relationships/webSettings" Target="webSettings.xml"/><Relationship Id="rId9" Type="http://schemas.openxmlformats.org/officeDocument/2006/relationships/hyperlink" Target="https://journals.dacinsightpublishers.com/GPFSA" TargetMode="External"/><Relationship Id="rId14" Type="http://schemas.openxmlformats.org/officeDocument/2006/relationships/hyperlink" Target="https://doi.org/10.1016/j.tifs.2014.10.007" TargetMode="External"/><Relationship Id="rId22" Type="http://schemas.openxmlformats.org/officeDocument/2006/relationships/hyperlink" Target="https://doi.org/10.1186/s12944-025-02659-7" TargetMode="External"/><Relationship Id="rId27" Type="http://schemas.openxmlformats.org/officeDocument/2006/relationships/hyperlink" Target="https://doi.org/10.1016/j.clinthera.2022.05.001" TargetMode="External"/><Relationship Id="rId30" Type="http://schemas.openxmlformats.org/officeDocument/2006/relationships/hyperlink" Target="https://doi.org/10.3390/medicines6030094" TargetMode="External"/><Relationship Id="rId35" Type="http://schemas.openxmlformats.org/officeDocument/2006/relationships/hyperlink" Target="https://doi.org/10.1080/13696998.2025.2554518" TargetMode="External"/><Relationship Id="rId43" Type="http://schemas.openxmlformats.org/officeDocument/2006/relationships/hyperlink" Target="https://doi.org/10.1186/s12966-022-01287-z" TargetMode="External"/><Relationship Id="rId48" Type="http://schemas.openxmlformats.org/officeDocument/2006/relationships/hyperlink" Target="https://doi.org/10.1007/s00394-025-03839-y" TargetMode="External"/><Relationship Id="rId56" Type="http://schemas.openxmlformats.org/officeDocument/2006/relationships/theme" Target="theme/theme1.xml"/><Relationship Id="rId8" Type="http://schemas.openxmlformats.org/officeDocument/2006/relationships/hyperlink" Target="https://journals.dacinsightpublishers.com/GPFSA" TargetMode="External"/><Relationship Id="rId51" Type="http://schemas.openxmlformats.org/officeDocument/2006/relationships/hyperlink" Target="https://doi.org/10.3390/nu15214569" TargetMode="External"/><Relationship Id="rId3" Type="http://schemas.openxmlformats.org/officeDocument/2006/relationships/settings" Target="settings.xml"/><Relationship Id="rId12" Type="http://schemas.openxmlformats.org/officeDocument/2006/relationships/hyperlink" Target="https://doi.org/10.3389/fnut.2020.606378" TargetMode="External"/><Relationship Id="rId17" Type="http://schemas.openxmlformats.org/officeDocument/2006/relationships/hyperlink" Target="https://doi.org/10.1080/07315724.2013.791194" TargetMode="External"/><Relationship Id="rId25" Type="http://schemas.openxmlformats.org/officeDocument/2006/relationships/hyperlink" Target="https://doi.org/10.1007/s12325-022-02153-x" TargetMode="External"/><Relationship Id="rId33" Type="http://schemas.openxmlformats.org/officeDocument/2006/relationships/hyperlink" Target="https://doi.org/10.1093/nutrit/nuaf083" TargetMode="External"/><Relationship Id="rId38" Type="http://schemas.openxmlformats.org/officeDocument/2006/relationships/hyperlink" Target="https://doi.org/10.1016/j.eclinm.2025.103363" TargetMode="External"/><Relationship Id="rId46" Type="http://schemas.openxmlformats.org/officeDocument/2006/relationships/hyperlink" Target="https://doi.org/10.1038/s41598-020-69504-y" TargetMode="External"/><Relationship Id="rId20" Type="http://schemas.openxmlformats.org/officeDocument/2006/relationships/hyperlink" Target="https://doi.org/10.1016/j.tifs.2018.12.006" TargetMode="External"/><Relationship Id="rId41" Type="http://schemas.openxmlformats.org/officeDocument/2006/relationships/hyperlink" Target="https://doi.org/10.1093/asj/sjae166"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2147/dmso.s488806" TargetMode="External"/><Relationship Id="rId23" Type="http://schemas.openxmlformats.org/officeDocument/2006/relationships/hyperlink" Target="https://doi.org/10.3390/nu16203560" TargetMode="External"/><Relationship Id="rId28" Type="http://schemas.openxmlformats.org/officeDocument/2006/relationships/hyperlink" Target="https://doi.org/10.1210/endocr/bqae167" TargetMode="External"/><Relationship Id="rId36" Type="http://schemas.openxmlformats.org/officeDocument/2006/relationships/hyperlink" Target="https://doi.org/10.1016/j.amjmed.2025.01.021" TargetMode="External"/><Relationship Id="rId49" Type="http://schemas.openxmlformats.org/officeDocument/2006/relationships/hyperlink" Target="https://doi.org/10.7759/cureus.7530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ournals.dacinsightpublishers.com/index/admin/contexts"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18</Pages>
  <Words>10715</Words>
  <Characters>61078</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Abdulmalik Umar</dc:creator>
  <cp:keywords/>
  <dc:description/>
  <cp:lastModifiedBy>Jessica Dan Odhomo</cp:lastModifiedBy>
  <cp:revision>4</cp:revision>
  <cp:lastPrinted>2025-08-20T22:13:00Z</cp:lastPrinted>
  <dcterms:created xsi:type="dcterms:W3CDTF">2025-12-24T20:27:00Z</dcterms:created>
  <dcterms:modified xsi:type="dcterms:W3CDTF">2025-12-24T21:37:00Z</dcterms:modified>
</cp:coreProperties>
</file>